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hint="eastAsia" w:ascii="方正小标宋简体" w:eastAsia="方正小标宋简体"/>
          <w:bCs/>
          <w:sz w:val="44"/>
          <w:szCs w:val="44"/>
        </w:rPr>
      </w:pPr>
    </w:p>
    <w:p>
      <w:pPr>
        <w:spacing w:line="520" w:lineRule="exact"/>
        <w:jc w:val="center"/>
        <w:rPr>
          <w:rFonts w:ascii="方正小标宋简体" w:eastAsia="方正小标宋简体"/>
          <w:bCs/>
          <w:sz w:val="44"/>
          <w:szCs w:val="44"/>
        </w:rPr>
      </w:pPr>
      <w:r>
        <w:rPr>
          <w:rFonts w:hint="eastAsia" w:ascii="方正小标宋简体" w:eastAsia="方正小标宋简体"/>
          <w:bCs/>
          <w:sz w:val="44"/>
          <w:szCs w:val="44"/>
        </w:rPr>
        <w:t>北京市体育局</w:t>
      </w:r>
    </w:p>
    <w:p>
      <w:pPr>
        <w:spacing w:line="520" w:lineRule="exact"/>
        <w:jc w:val="center"/>
        <w:rPr>
          <w:rFonts w:ascii="方正小标宋简体" w:eastAsia="方正小标宋简体"/>
          <w:sz w:val="44"/>
          <w:szCs w:val="44"/>
        </w:rPr>
      </w:pPr>
      <w:r>
        <w:rPr>
          <w:rFonts w:hint="eastAsia" w:ascii="方正小标宋简体" w:eastAsia="方正小标宋简体"/>
          <w:bCs/>
          <w:sz w:val="44"/>
          <w:szCs w:val="44"/>
        </w:rPr>
        <w:t>20</w:t>
      </w:r>
      <w:r>
        <w:rPr>
          <w:rFonts w:ascii="方正小标宋简体" w:eastAsia="方正小标宋简体"/>
          <w:bCs/>
          <w:sz w:val="44"/>
          <w:szCs w:val="44"/>
        </w:rPr>
        <w:t>20</w:t>
      </w:r>
      <w:r>
        <w:rPr>
          <w:rFonts w:hint="eastAsia" w:ascii="方正小标宋简体" w:eastAsia="方正小标宋简体"/>
          <w:bCs/>
          <w:sz w:val="44"/>
          <w:szCs w:val="44"/>
        </w:rPr>
        <w:t>年政府信息公开工作年度报告</w:t>
      </w:r>
    </w:p>
    <w:p>
      <w:pPr>
        <w:spacing w:line="520" w:lineRule="exact"/>
        <w:ind w:firstLine="590" w:firstLineChars="200"/>
      </w:pPr>
    </w:p>
    <w:p>
      <w:pPr>
        <w:spacing w:line="520" w:lineRule="exact"/>
        <w:ind w:firstLine="590" w:firstLineChars="200"/>
      </w:pPr>
      <w:r>
        <w:rPr>
          <w:rFonts w:hint="eastAsia"/>
        </w:rPr>
        <w:t>依据《中华人民共和国政府信息公开条例》（以下简称《政府信息公开条例》）第五十条规定，编制本报告。</w:t>
      </w:r>
    </w:p>
    <w:p>
      <w:pPr>
        <w:spacing w:line="520" w:lineRule="exact"/>
        <w:ind w:firstLine="590" w:firstLineChars="200"/>
        <w:rPr>
          <w:rFonts w:ascii="黑体" w:hAnsi="黑体" w:eastAsia="黑体"/>
          <w:bCs/>
        </w:rPr>
      </w:pPr>
      <w:r>
        <w:rPr>
          <w:rFonts w:hint="eastAsia" w:ascii="黑体" w:hAnsi="黑体" w:eastAsia="黑体"/>
          <w:bCs/>
        </w:rPr>
        <w:t>一、总体情况</w:t>
      </w:r>
    </w:p>
    <w:p>
      <w:pPr>
        <w:spacing w:line="520" w:lineRule="exact"/>
        <w:ind w:firstLine="590" w:firstLineChars="200"/>
      </w:pPr>
      <w:r>
        <w:rPr>
          <w:rFonts w:hint="eastAsia"/>
        </w:rPr>
        <w:t>20</w:t>
      </w:r>
      <w:r>
        <w:t>20</w:t>
      </w:r>
      <w:r>
        <w:rPr>
          <w:rFonts w:hint="eastAsia"/>
        </w:rPr>
        <w:t>年，北京市体育</w:t>
      </w:r>
      <w:r>
        <w:t>局</w:t>
      </w:r>
      <w:r>
        <w:rPr>
          <w:rFonts w:hint="eastAsia"/>
        </w:rPr>
        <w:t>以习近平新时代中国特色社会主义思想为指导，</w:t>
      </w:r>
      <w:r>
        <w:rPr>
          <w:rFonts w:hint="eastAsia"/>
          <w:szCs w:val="32"/>
        </w:rPr>
        <w:t>坚持以人民为中心的发展思想，</w:t>
      </w:r>
      <w:r>
        <w:rPr>
          <w:rFonts w:hint="eastAsia"/>
        </w:rPr>
        <w:t>全面贯彻落实《政府信息公开条例》，以公开为常态、不公开为例外，加强</w:t>
      </w:r>
      <w:r>
        <w:t>政府信息</w:t>
      </w:r>
      <w:r>
        <w:rPr>
          <w:rFonts w:hint="eastAsia"/>
        </w:rPr>
        <w:t>资源的规范化、标准化管理，强化信息公开平台建设，积极回应公众关切，提高依法行政和政务服务水平，</w:t>
      </w:r>
      <w:r>
        <w:rPr>
          <w:rFonts w:hint="eastAsia"/>
          <w:szCs w:val="32"/>
        </w:rPr>
        <w:t>助</w:t>
      </w:r>
      <w:r>
        <w:rPr>
          <w:szCs w:val="32"/>
        </w:rPr>
        <w:t>力体育</w:t>
      </w:r>
      <w:r>
        <w:rPr>
          <w:rFonts w:hint="eastAsia"/>
          <w:szCs w:val="32"/>
        </w:rPr>
        <w:t>强</w:t>
      </w:r>
      <w:r>
        <w:rPr>
          <w:szCs w:val="32"/>
        </w:rPr>
        <w:t>国建设</w:t>
      </w:r>
      <w:r>
        <w:rPr>
          <w:rFonts w:hint="eastAsia"/>
          <w:szCs w:val="32"/>
        </w:rPr>
        <w:t>和</w:t>
      </w:r>
      <w:r>
        <w:rPr>
          <w:szCs w:val="32"/>
        </w:rPr>
        <w:t>筹办北京冬奥会，</w:t>
      </w:r>
      <w:r>
        <w:rPr>
          <w:rFonts w:hint="eastAsia"/>
          <w:szCs w:val="32"/>
        </w:rPr>
        <w:t>助力首都治理体系治理能力现代化。</w:t>
      </w:r>
    </w:p>
    <w:p>
      <w:pPr>
        <w:spacing w:line="520" w:lineRule="exact"/>
        <w:ind w:firstLine="590" w:firstLineChars="200"/>
        <w:rPr>
          <w:rFonts w:ascii="楷体_GB2312" w:eastAsia="楷体_GB2312"/>
        </w:rPr>
      </w:pPr>
      <w:r>
        <w:rPr>
          <w:rFonts w:hint="eastAsia" w:ascii="楷体_GB2312" w:eastAsia="楷体_GB2312"/>
        </w:rPr>
        <w:t>（一）主动公开情况</w:t>
      </w:r>
    </w:p>
    <w:p>
      <w:pPr>
        <w:spacing w:line="520" w:lineRule="exact"/>
        <w:ind w:firstLine="590" w:firstLineChars="200"/>
        <w:rPr>
          <w:rFonts w:hAnsi="宋体-18030"/>
          <w:szCs w:val="32"/>
        </w:rPr>
      </w:pPr>
      <w:r>
        <w:rPr>
          <w:rFonts w:hint="eastAsia" w:hAnsi="宋体-18030"/>
          <w:szCs w:val="32"/>
        </w:rPr>
        <w:t>1.坚持依法依规，强</w:t>
      </w:r>
      <w:r>
        <w:rPr>
          <w:rFonts w:hAnsi="宋体-18030"/>
          <w:szCs w:val="32"/>
        </w:rPr>
        <w:t>化</w:t>
      </w:r>
      <w:r>
        <w:rPr>
          <w:rFonts w:hint="eastAsia" w:hAnsi="宋体-18030"/>
          <w:szCs w:val="32"/>
        </w:rPr>
        <w:t>政府</w:t>
      </w:r>
      <w:r>
        <w:rPr>
          <w:rFonts w:hAnsi="宋体-18030"/>
          <w:szCs w:val="32"/>
        </w:rPr>
        <w:t>信息公开</w:t>
      </w:r>
      <w:r>
        <w:rPr>
          <w:rFonts w:hint="eastAsia" w:hAnsi="宋体-18030"/>
          <w:szCs w:val="32"/>
        </w:rPr>
        <w:t>的规范</w:t>
      </w:r>
      <w:r>
        <w:rPr>
          <w:rFonts w:hAnsi="宋体-18030"/>
          <w:szCs w:val="32"/>
        </w:rPr>
        <w:t>性</w:t>
      </w:r>
    </w:p>
    <w:p>
      <w:pPr>
        <w:spacing w:line="520" w:lineRule="exact"/>
        <w:ind w:firstLine="590" w:firstLineChars="200"/>
        <w:rPr>
          <w:rFonts w:hAnsi="宋体-18030"/>
          <w:szCs w:val="32"/>
        </w:rPr>
      </w:pPr>
      <w:r>
        <w:rPr>
          <w:rFonts w:hint="eastAsia" w:hAnsi="宋体-18030"/>
          <w:szCs w:val="32"/>
        </w:rPr>
        <w:t>加强</w:t>
      </w:r>
      <w:r>
        <w:rPr>
          <w:rFonts w:hAnsi="宋体-18030"/>
          <w:szCs w:val="32"/>
        </w:rPr>
        <w:t>政策文件公开解读工作。</w:t>
      </w:r>
      <w:r>
        <w:rPr>
          <w:rFonts w:hint="eastAsia" w:hAnsi="宋体-18030"/>
          <w:szCs w:val="32"/>
        </w:rPr>
        <w:t>发布规范性文件</w:t>
      </w:r>
      <w:r>
        <w:rPr>
          <w:rFonts w:hAnsi="宋体-18030"/>
          <w:szCs w:val="32"/>
        </w:rPr>
        <w:t>10</w:t>
      </w:r>
      <w:r>
        <w:rPr>
          <w:rFonts w:hint="eastAsia" w:hAnsi="宋体-18030"/>
          <w:szCs w:val="32"/>
        </w:rPr>
        <w:t>个、政策性文件3个、地方标准</w:t>
      </w:r>
      <w:r>
        <w:rPr>
          <w:rFonts w:hAnsi="宋体-18030"/>
          <w:szCs w:val="32"/>
        </w:rPr>
        <w:t>2</w:t>
      </w:r>
      <w:r>
        <w:rPr>
          <w:rFonts w:hint="eastAsia" w:hAnsi="宋体-18030"/>
          <w:szCs w:val="32"/>
        </w:rPr>
        <w:t>个，并通过政府网站和政务新媒体第一时间开展政策解读宣传。</w:t>
      </w:r>
    </w:p>
    <w:p>
      <w:pPr>
        <w:spacing w:line="520" w:lineRule="exact"/>
        <w:ind w:firstLine="590" w:firstLineChars="200"/>
        <w:rPr>
          <w:rFonts w:hAnsi="宋体-18030"/>
          <w:szCs w:val="32"/>
        </w:rPr>
      </w:pPr>
      <w:r>
        <w:rPr>
          <w:rFonts w:hint="eastAsia" w:hAnsi="宋体-18030"/>
          <w:szCs w:val="32"/>
        </w:rPr>
        <w:t>推进疫情防控和复工复产信息公开。</w:t>
      </w:r>
      <w:r>
        <w:rPr>
          <w:rFonts w:hint="eastAsia"/>
          <w:szCs w:val="32"/>
        </w:rPr>
        <w:t>严格落实“四方责任”和“四早要求”，</w:t>
      </w:r>
      <w:r>
        <w:rPr>
          <w:rFonts w:hint="eastAsia" w:hAnsi="宋体-18030"/>
          <w:szCs w:val="32"/>
        </w:rPr>
        <w:t>发布关于做好公共体育场馆和体育运动项目经营单位疫情防控工作等文件，</w:t>
      </w:r>
      <w:r>
        <w:rPr>
          <w:rFonts w:hint="eastAsia"/>
          <w:szCs w:val="32"/>
        </w:rPr>
        <w:t>安全</w:t>
      </w:r>
      <w:r>
        <w:rPr>
          <w:szCs w:val="32"/>
        </w:rPr>
        <w:t>有序</w:t>
      </w:r>
      <w:r>
        <w:rPr>
          <w:rFonts w:hint="eastAsia"/>
          <w:szCs w:val="32"/>
        </w:rPr>
        <w:t>推进体育健身场所开放，</w:t>
      </w:r>
      <w:r>
        <w:rPr>
          <w:szCs w:val="32"/>
        </w:rPr>
        <w:t>复工复产</w:t>
      </w:r>
      <w:r>
        <w:rPr>
          <w:rFonts w:hint="eastAsia"/>
          <w:szCs w:val="32"/>
        </w:rPr>
        <w:t>率达到92</w:t>
      </w:r>
      <w:r>
        <w:rPr>
          <w:szCs w:val="32"/>
        </w:rPr>
        <w:t>%</w:t>
      </w:r>
      <w:r>
        <w:rPr>
          <w:rFonts w:hint="eastAsia" w:hAnsi="宋体-18030"/>
          <w:szCs w:val="32"/>
        </w:rPr>
        <w:t>。及时出台促进中小微企业健康发展的1</w:t>
      </w:r>
      <w:r>
        <w:rPr>
          <w:rFonts w:hAnsi="宋体-18030"/>
          <w:szCs w:val="32"/>
        </w:rPr>
        <w:t>1</w:t>
      </w:r>
      <w:r>
        <w:rPr>
          <w:rFonts w:hint="eastAsia" w:hAnsi="宋体-18030"/>
          <w:szCs w:val="32"/>
        </w:rPr>
        <w:t>条措施，</w:t>
      </w:r>
      <w:r>
        <w:rPr>
          <w:rFonts w:hint="eastAsia"/>
          <w:szCs w:val="32"/>
        </w:rPr>
        <w:t>多措并举帮助体育企业纾困解难。</w:t>
      </w:r>
      <w:r>
        <w:rPr>
          <w:rFonts w:hint="eastAsia" w:hAnsi="宋体-18030"/>
          <w:szCs w:val="32"/>
        </w:rPr>
        <w:t>创新</w:t>
      </w:r>
      <w:r>
        <w:rPr>
          <w:rFonts w:hAnsi="宋体-18030"/>
          <w:szCs w:val="32"/>
        </w:rPr>
        <w:t>方式方法，</w:t>
      </w:r>
      <w:r>
        <w:rPr>
          <w:rFonts w:hint="eastAsia" w:hAnsi="宋体-18030"/>
          <w:szCs w:val="32"/>
        </w:rPr>
        <w:t>开展居家健身知识和方法的宣传普及，为打赢疫情防控阻击战贡献“体育力量”。</w:t>
      </w:r>
    </w:p>
    <w:p>
      <w:pPr>
        <w:spacing w:line="520" w:lineRule="exact"/>
        <w:ind w:firstLine="590" w:firstLineChars="200"/>
        <w:rPr>
          <w:bCs/>
        </w:rPr>
      </w:pPr>
      <w:r>
        <w:rPr>
          <w:rFonts w:hint="eastAsia"/>
          <w:bCs/>
        </w:rPr>
        <w:t>全面推行行政执法公示制度。</w:t>
      </w:r>
      <w:r>
        <w:rPr>
          <w:rFonts w:hint="eastAsia" w:hAnsi="宋体-18030"/>
          <w:szCs w:val="32"/>
        </w:rPr>
        <w:t>在市体育局网站建立并完善“行政执法信息公示”专栏，依法公开并更新执法信息。持续推进“双公示”工作，更新市体育局行政处罚事项目录，公开北京市射击运动单位许可结果。开展</w:t>
      </w:r>
      <w:r>
        <w:rPr>
          <w:rFonts w:hint="eastAsia"/>
          <w:szCs w:val="32"/>
        </w:rPr>
        <w:t>行政执法检查</w:t>
      </w:r>
      <w:r>
        <w:rPr>
          <w:szCs w:val="32"/>
        </w:rPr>
        <w:t>40</w:t>
      </w:r>
      <w:r>
        <w:rPr>
          <w:rFonts w:hint="eastAsia"/>
          <w:szCs w:val="32"/>
        </w:rPr>
        <w:t>次，</w:t>
      </w:r>
      <w:r>
        <w:rPr>
          <w:szCs w:val="32"/>
        </w:rPr>
        <w:t>行政确认</w:t>
      </w:r>
      <w:r>
        <w:rPr>
          <w:rFonts w:hint="eastAsia"/>
          <w:szCs w:val="32"/>
        </w:rPr>
        <w:t>1942项</w:t>
      </w:r>
      <w:r>
        <w:rPr>
          <w:rFonts w:hint="eastAsia" w:hAnsi="宋体-18030"/>
          <w:szCs w:val="32"/>
        </w:rPr>
        <w:t>，未作出</w:t>
      </w:r>
      <w:r>
        <w:rPr>
          <w:rFonts w:hAnsi="宋体-18030"/>
          <w:szCs w:val="32"/>
        </w:rPr>
        <w:t>行政处罚事项。</w:t>
      </w:r>
    </w:p>
    <w:p>
      <w:pPr>
        <w:spacing w:line="520" w:lineRule="exact"/>
        <w:ind w:firstLine="590" w:firstLineChars="200"/>
      </w:pPr>
      <w:r>
        <w:rPr>
          <w:rFonts w:hint="eastAsia"/>
        </w:rPr>
        <w:t>公开财政</w:t>
      </w:r>
      <w:r>
        <w:t>资金管理使用情况。</w:t>
      </w:r>
      <w:r>
        <w:rPr>
          <w:rFonts w:hint="eastAsia"/>
        </w:rPr>
        <w:t>按</w:t>
      </w:r>
      <w:r>
        <w:t>规定</w:t>
      </w:r>
      <w:r>
        <w:rPr>
          <w:rFonts w:hint="eastAsia"/>
        </w:rPr>
        <w:t>公开市体育局2020年财政预算信息、2019年部门决算信息，其中新增公开项目支出绩效自评情况，接受社会监督。向社会公告2019年市体育彩票公益金使用规模、资助项目、执行情况和实际效果等筹集使用情况。</w:t>
      </w:r>
    </w:p>
    <w:p>
      <w:pPr>
        <w:spacing w:line="520" w:lineRule="exact"/>
        <w:ind w:firstLine="590" w:firstLineChars="200"/>
      </w:pPr>
      <w:r>
        <w:rPr>
          <w:rFonts w:hint="eastAsia"/>
          <w:bCs/>
        </w:rPr>
        <w:t>做</w:t>
      </w:r>
      <w:r>
        <w:rPr>
          <w:bCs/>
        </w:rPr>
        <w:t>好重大工程实</w:t>
      </w:r>
      <w:r>
        <w:rPr>
          <w:rFonts w:hint="eastAsia"/>
          <w:bCs/>
        </w:rPr>
        <w:t>施</w:t>
      </w:r>
      <w:r>
        <w:rPr>
          <w:bCs/>
        </w:rPr>
        <w:t>情况公开。</w:t>
      </w:r>
      <w:r>
        <w:rPr>
          <w:rFonts w:hint="eastAsia"/>
        </w:rPr>
        <w:t>及时规范发布重点工程招投标信息，建设</w:t>
      </w:r>
      <w:r>
        <w:t>完成</w:t>
      </w:r>
      <w:r>
        <w:rPr>
          <w:rFonts w:hint="eastAsia"/>
        </w:rPr>
        <w:t>北京市冰上项目训练基地，</w:t>
      </w:r>
      <w:r>
        <w:rPr>
          <w:rFonts w:hint="eastAsia"/>
          <w:szCs w:val="32"/>
        </w:rPr>
        <w:t>加快</w:t>
      </w:r>
      <w:r>
        <w:rPr>
          <w:szCs w:val="32"/>
        </w:rPr>
        <w:t>推进</w:t>
      </w:r>
      <w:r>
        <w:rPr>
          <w:rFonts w:hint="eastAsia"/>
          <w:szCs w:val="32"/>
        </w:rPr>
        <w:t>工人体育场改造复建，顺利完成PPP项目协议</w:t>
      </w:r>
      <w:r>
        <w:rPr>
          <w:szCs w:val="32"/>
        </w:rPr>
        <w:t>签约</w:t>
      </w:r>
      <w:r>
        <w:rPr>
          <w:rFonts w:hint="eastAsia"/>
          <w:szCs w:val="32"/>
        </w:rPr>
        <w:t>等</w:t>
      </w:r>
      <w:r>
        <w:rPr>
          <w:szCs w:val="32"/>
        </w:rPr>
        <w:t>工作</w:t>
      </w:r>
      <w:r>
        <w:rPr>
          <w:rFonts w:hint="eastAsia"/>
          <w:szCs w:val="32"/>
        </w:rPr>
        <w:t>。</w:t>
      </w:r>
    </w:p>
    <w:p>
      <w:pPr>
        <w:spacing w:line="520" w:lineRule="exact"/>
        <w:ind w:firstLine="590" w:firstLineChars="200"/>
        <w:rPr>
          <w:szCs w:val="32"/>
        </w:rPr>
      </w:pPr>
      <w:r>
        <w:rPr>
          <w:rFonts w:hint="eastAsia" w:hAnsi="黑体"/>
          <w:bCs/>
        </w:rPr>
        <w:t>公开</w:t>
      </w:r>
      <w:r>
        <w:rPr>
          <w:rFonts w:hAnsi="黑体"/>
          <w:bCs/>
        </w:rPr>
        <w:t>体育</w:t>
      </w:r>
      <w:r>
        <w:rPr>
          <w:rFonts w:hint="eastAsia" w:hAnsi="黑体"/>
          <w:bCs/>
        </w:rPr>
        <w:t>行业安全监管</w:t>
      </w:r>
      <w:r>
        <w:rPr>
          <w:rFonts w:hAnsi="黑体"/>
          <w:bCs/>
        </w:rPr>
        <w:t>信息。</w:t>
      </w:r>
      <w:r>
        <w:rPr>
          <w:rFonts w:hint="eastAsia" w:hAnsi="黑体"/>
          <w:bCs/>
        </w:rPr>
        <w:t>发布</w:t>
      </w:r>
      <w:r>
        <w:rPr>
          <w:rFonts w:hAnsi="黑体"/>
          <w:bCs/>
        </w:rPr>
        <w:t>《体育场所安全运营管理规范 滑冰场所》</w:t>
      </w:r>
      <w:r>
        <w:rPr>
          <w:rFonts w:hint="eastAsia" w:hAnsi="黑体"/>
          <w:bCs/>
        </w:rPr>
        <w:t>地</w:t>
      </w:r>
      <w:r>
        <w:rPr>
          <w:rFonts w:hAnsi="黑体"/>
          <w:bCs/>
        </w:rPr>
        <w:t>方标准</w:t>
      </w:r>
      <w:r>
        <w:rPr>
          <w:rFonts w:hint="eastAsia" w:hAnsi="黑体"/>
          <w:bCs/>
        </w:rPr>
        <w:t>，公开</w:t>
      </w:r>
      <w:r>
        <w:rPr>
          <w:rFonts w:hint="eastAsia"/>
          <w:szCs w:val="32"/>
        </w:rPr>
        <w:t>游泳场所和滑雪场所生产安全事故隐患目录，</w:t>
      </w:r>
      <w:r>
        <w:rPr>
          <w:rFonts w:hint="eastAsia" w:hAnsi="宋体-18030"/>
          <w:bCs/>
          <w:szCs w:val="32"/>
        </w:rPr>
        <w:t>为体育</w:t>
      </w:r>
      <w:r>
        <w:rPr>
          <w:rFonts w:hAnsi="宋体-18030"/>
          <w:bCs/>
          <w:szCs w:val="32"/>
        </w:rPr>
        <w:t>健身</w:t>
      </w:r>
      <w:r>
        <w:rPr>
          <w:rFonts w:hint="eastAsia" w:hAnsi="宋体-18030"/>
          <w:bCs/>
          <w:szCs w:val="32"/>
        </w:rPr>
        <w:t>场所安全规范运营提供有效支撑。</w:t>
      </w:r>
      <w:r>
        <w:rPr>
          <w:rFonts w:hint="eastAsia"/>
          <w:szCs w:val="32"/>
        </w:rPr>
        <w:t>发</w:t>
      </w:r>
      <w:r>
        <w:rPr>
          <w:szCs w:val="32"/>
        </w:rPr>
        <w:t>布</w:t>
      </w:r>
      <w:r>
        <w:rPr>
          <w:rFonts w:hint="eastAsia"/>
          <w:szCs w:val="32"/>
        </w:rPr>
        <w:t>体育健身服务领域预付式消费风险提示</w:t>
      </w:r>
      <w:r>
        <w:rPr>
          <w:rFonts w:hint="eastAsia" w:hAnsi="黑体"/>
          <w:bCs/>
        </w:rPr>
        <w:t>，</w:t>
      </w:r>
      <w:r>
        <w:rPr>
          <w:rFonts w:hint="eastAsia"/>
          <w:szCs w:val="32"/>
        </w:rPr>
        <w:t>维护体育消费市场秩序。</w:t>
      </w:r>
    </w:p>
    <w:p>
      <w:pPr>
        <w:spacing w:line="520" w:lineRule="exact"/>
        <w:ind w:firstLine="590" w:firstLineChars="200"/>
        <w:rPr>
          <w:bCs/>
        </w:rPr>
      </w:pPr>
      <w:r>
        <w:rPr>
          <w:rFonts w:hint="eastAsia"/>
          <w:bCs/>
        </w:rPr>
        <w:t>推进组织人事信息公开工作。发布机关公务员考录、直属单位人员招聘招考公告及</w:t>
      </w:r>
      <w:r>
        <w:rPr>
          <w:rFonts w:hint="eastAsia"/>
          <w:szCs w:val="32"/>
        </w:rPr>
        <w:t>录用结果</w:t>
      </w:r>
      <w:r>
        <w:rPr>
          <w:bCs/>
        </w:rPr>
        <w:t>，全程接受社会监督。深化体育教练员职称改革，</w:t>
      </w:r>
      <w:r>
        <w:rPr>
          <w:rFonts w:hint="eastAsia"/>
          <w:bCs/>
        </w:rPr>
        <w:t>做</w:t>
      </w:r>
      <w:r>
        <w:rPr>
          <w:bCs/>
        </w:rPr>
        <w:t>好体育教练员、体育科研（高级）职称评审工作</w:t>
      </w:r>
      <w:r>
        <w:rPr>
          <w:rFonts w:hint="eastAsia"/>
          <w:bCs/>
        </w:rPr>
        <w:t>信息</w:t>
      </w:r>
      <w:r>
        <w:rPr>
          <w:bCs/>
        </w:rPr>
        <w:t>公开，加强</w:t>
      </w:r>
      <w:r>
        <w:rPr>
          <w:rFonts w:hint="eastAsia"/>
          <w:bCs/>
        </w:rPr>
        <w:t>体育</w:t>
      </w:r>
      <w:r>
        <w:rPr>
          <w:bCs/>
        </w:rPr>
        <w:t>人才</w:t>
      </w:r>
      <w:r>
        <w:rPr>
          <w:rFonts w:hint="eastAsia"/>
          <w:bCs/>
        </w:rPr>
        <w:t>培养</w:t>
      </w:r>
      <w:r>
        <w:rPr>
          <w:bCs/>
        </w:rPr>
        <w:t>工作的透明度。</w:t>
      </w:r>
    </w:p>
    <w:p>
      <w:pPr>
        <w:spacing w:line="520" w:lineRule="exact"/>
        <w:ind w:firstLine="590" w:firstLineChars="200"/>
        <w:rPr>
          <w:rFonts w:hAnsi="宋体-18030"/>
          <w:szCs w:val="32"/>
        </w:rPr>
      </w:pPr>
      <w:r>
        <w:rPr>
          <w:rFonts w:hint="eastAsia" w:hAnsi="宋体-18030"/>
          <w:szCs w:val="32"/>
        </w:rPr>
        <w:t>2.坚持创新发展，加强体育领域信息公开</w:t>
      </w:r>
      <w:r>
        <w:rPr>
          <w:rFonts w:hAnsi="宋体-18030"/>
          <w:szCs w:val="32"/>
        </w:rPr>
        <w:t>的</w:t>
      </w:r>
      <w:r>
        <w:rPr>
          <w:rFonts w:hint="eastAsia" w:hAnsi="宋体-18030"/>
          <w:szCs w:val="32"/>
        </w:rPr>
        <w:t>实</w:t>
      </w:r>
      <w:r>
        <w:rPr>
          <w:rFonts w:hAnsi="宋体-18030"/>
          <w:szCs w:val="32"/>
        </w:rPr>
        <w:t>效性</w:t>
      </w:r>
    </w:p>
    <w:p>
      <w:pPr>
        <w:spacing w:line="520" w:lineRule="exact"/>
        <w:ind w:firstLine="590" w:firstLineChars="200"/>
        <w:rPr>
          <w:bCs/>
        </w:rPr>
      </w:pPr>
      <w:r>
        <w:rPr>
          <w:rFonts w:hint="eastAsia"/>
          <w:bCs/>
        </w:rPr>
        <w:t>深化全民健身工作信息公开。</w:t>
      </w:r>
      <w:r>
        <w:rPr>
          <w:rFonts w:hint="eastAsia" w:hAnsi="楷体" w:cs="宋体"/>
          <w:kern w:val="0"/>
          <w:szCs w:val="32"/>
        </w:rPr>
        <w:t>发布</w:t>
      </w:r>
      <w:r>
        <w:rPr>
          <w:rFonts w:hint="eastAsia"/>
          <w:szCs w:val="32"/>
        </w:rPr>
        <w:t>《北京市体育设施专项规划（2018—2035年）》及</w:t>
      </w:r>
      <w:r>
        <w:rPr>
          <w:rFonts w:hint="eastAsia" w:hAnsi="楷体" w:cs="宋体"/>
          <w:kern w:val="0"/>
          <w:szCs w:val="32"/>
        </w:rPr>
        <w:t>2018年北京市体育场地主要指标数据公报，</w:t>
      </w:r>
      <w:r>
        <w:rPr>
          <w:rFonts w:hint="eastAsia" w:hAnsi="Times New Roman"/>
        </w:rPr>
        <w:t>公开57</w:t>
      </w:r>
      <w:r>
        <w:rPr>
          <w:rFonts w:hAnsi="Times New Roman"/>
        </w:rPr>
        <w:t>个全民健身示范街道和体育特色乡镇名单</w:t>
      </w:r>
      <w:r>
        <w:rPr>
          <w:rFonts w:hint="eastAsia" w:hAnsi="Times New Roman"/>
        </w:rPr>
        <w:t>、150余公里健走步道具体点位情况。</w:t>
      </w:r>
      <w:r>
        <w:rPr>
          <w:rFonts w:hint="eastAsia" w:hAnsi="宋体-18030"/>
          <w:szCs w:val="32"/>
        </w:rPr>
        <w:t>问需于民，首次公开征集体育领域重要民生实事项目线索，持续推进</w:t>
      </w:r>
      <w:r>
        <w:rPr>
          <w:rFonts w:hAnsi="宋体-18030"/>
          <w:szCs w:val="32"/>
        </w:rPr>
        <w:t>群众</w:t>
      </w:r>
      <w:r>
        <w:rPr>
          <w:rFonts w:hint="eastAsia" w:hAnsi="宋体-18030"/>
          <w:szCs w:val="32"/>
        </w:rPr>
        <w:t>身边体育场地设施建设</w:t>
      </w:r>
      <w:r>
        <w:rPr>
          <w:rFonts w:hAnsi="宋体-18030"/>
          <w:szCs w:val="32"/>
        </w:rPr>
        <w:t>。</w:t>
      </w:r>
      <w:r>
        <w:rPr>
          <w:rFonts w:hint="eastAsia" w:hAnsi="宋体-18030"/>
          <w:szCs w:val="32"/>
        </w:rPr>
        <w:t>稳</w:t>
      </w:r>
      <w:r>
        <w:rPr>
          <w:rFonts w:hAnsi="宋体-18030"/>
          <w:szCs w:val="32"/>
        </w:rPr>
        <w:t>步推进健身指导</w:t>
      </w:r>
      <w:r>
        <w:rPr>
          <w:rFonts w:hint="eastAsia" w:hAnsi="宋体-18030"/>
          <w:szCs w:val="32"/>
        </w:rPr>
        <w:t>与</w:t>
      </w:r>
      <w:r>
        <w:rPr>
          <w:rFonts w:hAnsi="宋体-18030"/>
          <w:szCs w:val="32"/>
        </w:rPr>
        <w:t>培训</w:t>
      </w:r>
      <w:r>
        <w:rPr>
          <w:rFonts w:hint="eastAsia" w:hAnsi="宋体-18030"/>
          <w:szCs w:val="32"/>
        </w:rPr>
        <w:t>，</w:t>
      </w:r>
      <w:r>
        <w:rPr>
          <w:rFonts w:hint="eastAsia" w:cs="Times New Roman"/>
        </w:rPr>
        <w:t>公示授予</w:t>
      </w:r>
      <w:r>
        <w:rPr>
          <w:rFonts w:cs="Times New Roman"/>
        </w:rPr>
        <w:t>1337人</w:t>
      </w:r>
      <w:r>
        <w:rPr>
          <w:rFonts w:hint="eastAsia" w:cs="Times New Roman"/>
        </w:rPr>
        <w:t>次一级社会体育指导员称号，</w:t>
      </w:r>
      <w:r>
        <w:rPr>
          <w:rFonts w:hint="eastAsia" w:hAnsi="宋体-18030"/>
          <w:szCs w:val="32"/>
        </w:rPr>
        <w:t>拓展“互联网+”健身指导模式与实践，积极倡导疫情期间科学生活健身方式。持续</w:t>
      </w:r>
      <w:r>
        <w:rPr>
          <w:rFonts w:hint="eastAsia"/>
          <w:szCs w:val="32"/>
        </w:rPr>
        <w:t>举办</w:t>
      </w:r>
      <w:r>
        <w:rPr>
          <w:rFonts w:hint="eastAsia" w:hAnsi="仿宋"/>
          <w:bCs/>
          <w:szCs w:val="32"/>
        </w:rPr>
        <w:t>品牌性</w:t>
      </w:r>
      <w:r>
        <w:rPr>
          <w:rFonts w:hint="eastAsia"/>
          <w:szCs w:val="32"/>
        </w:rPr>
        <w:t>全民健身活动，继承性开展民族民间体育活动，全民健身营养社区行送服务到百姓身边。</w:t>
      </w:r>
    </w:p>
    <w:p>
      <w:pPr>
        <w:spacing w:line="520" w:lineRule="exact"/>
        <w:ind w:firstLine="590" w:firstLineChars="200"/>
        <w:rPr>
          <w:bCs/>
        </w:rPr>
      </w:pPr>
      <w:r>
        <w:rPr>
          <w:rFonts w:hint="eastAsia"/>
          <w:bCs/>
        </w:rPr>
        <w:t>强化竞技体育工作信息公开。</w:t>
      </w:r>
      <w:r>
        <w:rPr>
          <w:rFonts w:hint="eastAsia" w:hAnsi="宋体-18030"/>
          <w:szCs w:val="32"/>
        </w:rPr>
        <w:t>落实竞技体育发展规划和备战工作要求，强化基础体能科学训练和</w:t>
      </w:r>
      <w:r>
        <w:rPr>
          <w:rFonts w:hAnsi="宋体-18030"/>
          <w:szCs w:val="32"/>
        </w:rPr>
        <w:t>培训指导</w:t>
      </w:r>
      <w:r>
        <w:rPr>
          <w:rFonts w:hint="eastAsia" w:hAnsi="宋体-18030"/>
          <w:szCs w:val="32"/>
        </w:rPr>
        <w:t>，</w:t>
      </w:r>
      <w:r>
        <w:rPr>
          <w:rFonts w:hint="eastAsia"/>
          <w:szCs w:val="32"/>
        </w:rPr>
        <w:t>持续</w:t>
      </w:r>
      <w:r>
        <w:rPr>
          <w:szCs w:val="32"/>
        </w:rPr>
        <w:t>加强</w:t>
      </w:r>
      <w:r>
        <w:rPr>
          <w:rFonts w:hint="eastAsia"/>
          <w:szCs w:val="32"/>
        </w:rPr>
        <w:t>反兴奋剂宣传教育，</w:t>
      </w:r>
      <w:r>
        <w:rPr>
          <w:rFonts w:hint="eastAsia" w:hAnsi="宋体-18030"/>
          <w:szCs w:val="32"/>
        </w:rPr>
        <w:t>科</w:t>
      </w:r>
      <w:r>
        <w:rPr>
          <w:rFonts w:hAnsi="宋体-18030"/>
          <w:szCs w:val="32"/>
        </w:rPr>
        <w:t>技助力竞技体育</w:t>
      </w:r>
      <w:r>
        <w:rPr>
          <w:rFonts w:hint="eastAsia" w:hAnsi="宋体-18030"/>
          <w:szCs w:val="32"/>
        </w:rPr>
        <w:t>发</w:t>
      </w:r>
      <w:r>
        <w:rPr>
          <w:rFonts w:hAnsi="宋体-18030"/>
          <w:szCs w:val="32"/>
        </w:rPr>
        <w:t>展</w:t>
      </w:r>
      <w:r>
        <w:rPr>
          <w:rFonts w:hint="eastAsia" w:hAnsi="宋体-18030"/>
          <w:szCs w:val="32"/>
        </w:rPr>
        <w:t>，全力备战东京奥运会、陕西全运会。统筹安排青少年体育赛事</w:t>
      </w:r>
      <w:r>
        <w:rPr>
          <w:rFonts w:hAnsi="宋体-18030"/>
          <w:szCs w:val="32"/>
        </w:rPr>
        <w:t>，</w:t>
      </w:r>
      <w:r>
        <w:rPr>
          <w:rFonts w:hint="eastAsia" w:hAnsi="宋体-18030"/>
          <w:szCs w:val="32"/>
        </w:rPr>
        <w:t>做好市青少年U系列冠军赛和锦标赛等竞赛规程、单项比赛秩序册和成绩册有</w:t>
      </w:r>
      <w:r>
        <w:rPr>
          <w:rFonts w:hAnsi="宋体-18030"/>
          <w:szCs w:val="32"/>
        </w:rPr>
        <w:t>关</w:t>
      </w:r>
      <w:r>
        <w:rPr>
          <w:rFonts w:hint="eastAsia" w:hAnsi="宋体-18030"/>
          <w:szCs w:val="32"/>
        </w:rPr>
        <w:t>信息公开和</w:t>
      </w:r>
      <w:r>
        <w:rPr>
          <w:rFonts w:hAnsi="宋体-18030"/>
          <w:szCs w:val="32"/>
        </w:rPr>
        <w:t>服务</w:t>
      </w:r>
      <w:r>
        <w:rPr>
          <w:rFonts w:hint="eastAsia" w:hAnsi="宋体-18030"/>
          <w:szCs w:val="32"/>
        </w:rPr>
        <w:t>工作。公示授予</w:t>
      </w:r>
      <w:r>
        <w:rPr>
          <w:rFonts w:hAnsi="宋体-18030"/>
          <w:szCs w:val="32"/>
        </w:rPr>
        <w:t>9</w:t>
      </w:r>
      <w:r>
        <w:rPr>
          <w:rFonts w:hint="eastAsia" w:hAnsi="宋体-18030"/>
          <w:szCs w:val="32"/>
        </w:rPr>
        <w:t>批次</w:t>
      </w:r>
      <w:r>
        <w:rPr>
          <w:rFonts w:hAnsi="宋体-18030"/>
          <w:szCs w:val="32"/>
        </w:rPr>
        <w:t>39</w:t>
      </w:r>
      <w:r>
        <w:rPr>
          <w:rFonts w:hint="eastAsia" w:hAnsi="宋体-18030"/>
          <w:szCs w:val="32"/>
        </w:rPr>
        <w:t>个项目</w:t>
      </w:r>
      <w:r>
        <w:rPr>
          <w:rFonts w:hAnsi="宋体-18030"/>
          <w:szCs w:val="32"/>
        </w:rPr>
        <w:t>324</w:t>
      </w:r>
      <w:r>
        <w:rPr>
          <w:rFonts w:hint="eastAsia" w:hAnsi="宋体-18030"/>
          <w:szCs w:val="32"/>
        </w:rPr>
        <w:t>人次一级运动员称号，</w:t>
      </w:r>
      <w:r>
        <w:rPr>
          <w:rFonts w:hAnsi="宋体-18030"/>
          <w:szCs w:val="32"/>
        </w:rPr>
        <w:t>撤销</w:t>
      </w:r>
      <w:r>
        <w:rPr>
          <w:rFonts w:hint="eastAsia" w:hAnsi="宋体-18030"/>
          <w:szCs w:val="32"/>
        </w:rPr>
        <w:t>9人</w:t>
      </w:r>
      <w:r>
        <w:rPr>
          <w:rFonts w:hAnsi="宋体-18030"/>
          <w:szCs w:val="32"/>
        </w:rPr>
        <w:t>次</w:t>
      </w:r>
      <w:r>
        <w:rPr>
          <w:rFonts w:hint="eastAsia" w:hAnsi="宋体-18030"/>
          <w:szCs w:val="32"/>
        </w:rPr>
        <w:t>一级运动员称号。</w:t>
      </w:r>
    </w:p>
    <w:p>
      <w:pPr>
        <w:spacing w:line="520" w:lineRule="exact"/>
        <w:ind w:firstLine="590" w:firstLineChars="200"/>
        <w:rPr>
          <w:bCs/>
        </w:rPr>
      </w:pPr>
      <w:r>
        <w:rPr>
          <w:rFonts w:hint="eastAsia"/>
          <w:bCs/>
        </w:rPr>
        <w:t>加强体育产业发展信息公开。</w:t>
      </w:r>
      <w:r>
        <w:rPr>
          <w:rFonts w:hint="eastAsia" w:hAnsi="宋体-18030"/>
          <w:szCs w:val="32"/>
        </w:rPr>
        <w:t>成功举办首届“</w:t>
      </w:r>
      <w:r>
        <w:rPr>
          <w:rFonts w:hAnsi="宋体-18030"/>
          <w:szCs w:val="32"/>
        </w:rPr>
        <w:t>8.8北京体育消费节</w:t>
      </w:r>
      <w:r>
        <w:rPr>
          <w:rFonts w:hint="eastAsia" w:hAnsi="宋体-18030"/>
          <w:szCs w:val="32"/>
        </w:rPr>
        <w:t>”</w:t>
      </w:r>
      <w:r>
        <w:rPr>
          <w:rFonts w:hAnsi="宋体-18030"/>
          <w:szCs w:val="32"/>
        </w:rPr>
        <w:t>，</w:t>
      </w:r>
      <w:r>
        <w:rPr>
          <w:rFonts w:hint="eastAsia"/>
          <w:szCs w:val="32"/>
        </w:rPr>
        <w:t>多方面促进体育消费，</w:t>
      </w:r>
      <w:r>
        <w:rPr>
          <w:rFonts w:hint="eastAsia"/>
          <w:bCs/>
          <w:szCs w:val="32"/>
        </w:rPr>
        <w:t>助力全市消费恢复和经济发展。宣传推广</w:t>
      </w:r>
      <w:r>
        <w:rPr>
          <w:rFonts w:hint="eastAsia"/>
          <w:szCs w:val="32"/>
        </w:rPr>
        <w:t>国家游泳中心等3个首批全国体育服务综合体典型案例，策划推出骑行、徒步、登山、跑步等56条体育文化休闲旅游优质路线，评选公示7个</w:t>
      </w:r>
      <w:r>
        <w:rPr>
          <w:szCs w:val="32"/>
        </w:rPr>
        <w:t>市级体育</w:t>
      </w:r>
      <w:r>
        <w:rPr>
          <w:rFonts w:hint="eastAsia"/>
          <w:szCs w:val="32"/>
        </w:rPr>
        <w:t>产</w:t>
      </w:r>
      <w:r>
        <w:rPr>
          <w:szCs w:val="32"/>
        </w:rPr>
        <w:t>业基地，公开</w:t>
      </w:r>
      <w:r>
        <w:rPr>
          <w:rFonts w:hint="eastAsia"/>
          <w:szCs w:val="32"/>
        </w:rPr>
        <w:t>19家</w:t>
      </w:r>
      <w:r>
        <w:rPr>
          <w:rFonts w:hint="eastAsia" w:hAnsi="宋体-18030"/>
          <w:bCs/>
          <w:szCs w:val="32"/>
        </w:rPr>
        <w:t>北京市体育行业国家职业资格培训机构名单，</w:t>
      </w:r>
      <w:r>
        <w:rPr>
          <w:rFonts w:hint="eastAsia" w:hAnsi="宋体-18030"/>
          <w:szCs w:val="32"/>
        </w:rPr>
        <w:t>圆满举办</w:t>
      </w:r>
      <w:r>
        <w:rPr>
          <w:rFonts w:hAnsi="宋体-18030"/>
          <w:szCs w:val="32"/>
        </w:rPr>
        <w:t>服贸会</w:t>
      </w:r>
      <w:r>
        <w:rPr>
          <w:rFonts w:hint="eastAsia" w:hAnsi="宋体-18030"/>
          <w:szCs w:val="32"/>
        </w:rPr>
        <w:t>体育服务专题展和文化体育融合展</w:t>
      </w:r>
      <w:r>
        <w:rPr>
          <w:rFonts w:hAnsi="宋体-18030"/>
          <w:szCs w:val="32"/>
        </w:rPr>
        <w:t>。</w:t>
      </w:r>
    </w:p>
    <w:p>
      <w:pPr>
        <w:spacing w:line="520" w:lineRule="exact"/>
        <w:ind w:firstLine="590" w:firstLineChars="200"/>
        <w:rPr>
          <w:bCs/>
        </w:rPr>
      </w:pPr>
      <w:r>
        <w:rPr>
          <w:rFonts w:hint="eastAsia"/>
          <w:bCs/>
        </w:rPr>
        <w:t>加大冰雪运动信息公开力度。</w:t>
      </w:r>
      <w:r>
        <w:rPr>
          <w:rFonts w:hint="eastAsia"/>
          <w:szCs w:val="32"/>
        </w:rPr>
        <w:t>创新举办第六届市民快乐冰雪季，参与人次达到713万。积极参加、</w:t>
      </w:r>
      <w:r>
        <w:rPr>
          <w:szCs w:val="32"/>
        </w:rPr>
        <w:t>有序</w:t>
      </w:r>
      <w:r>
        <w:rPr>
          <w:rFonts w:hint="eastAsia"/>
          <w:szCs w:val="32"/>
        </w:rPr>
        <w:t>组织冬季</w:t>
      </w:r>
      <w:r>
        <w:rPr>
          <w:szCs w:val="32"/>
        </w:rPr>
        <w:t>项目竞赛</w:t>
      </w:r>
      <w:r>
        <w:rPr>
          <w:rFonts w:hint="eastAsia"/>
          <w:szCs w:val="32"/>
        </w:rPr>
        <w:t>，</w:t>
      </w:r>
      <w:r>
        <w:rPr>
          <w:szCs w:val="32"/>
        </w:rPr>
        <w:t>北京男子冰球队</w:t>
      </w:r>
      <w:r>
        <w:rPr>
          <w:rFonts w:hint="eastAsia"/>
          <w:szCs w:val="32"/>
        </w:rPr>
        <w:t>首次</w:t>
      </w:r>
      <w:r>
        <w:rPr>
          <w:szCs w:val="32"/>
        </w:rPr>
        <w:t>获得全国锦标赛冠军</w:t>
      </w:r>
      <w:r>
        <w:rPr>
          <w:rFonts w:hint="eastAsia"/>
          <w:szCs w:val="32"/>
        </w:rPr>
        <w:t>，</w:t>
      </w:r>
      <w:r>
        <w:rPr>
          <w:szCs w:val="32"/>
        </w:rPr>
        <w:t>青少年冰球俱乐部</w:t>
      </w:r>
      <w:r>
        <w:rPr>
          <w:rFonts w:hint="eastAsia"/>
          <w:szCs w:val="32"/>
        </w:rPr>
        <w:t>联赛</w:t>
      </w:r>
      <w:r>
        <w:rPr>
          <w:szCs w:val="32"/>
        </w:rPr>
        <w:t>规模</w:t>
      </w:r>
      <w:r>
        <w:rPr>
          <w:rFonts w:hint="eastAsia"/>
          <w:szCs w:val="32"/>
        </w:rPr>
        <w:t>继续保持</w:t>
      </w:r>
      <w:r>
        <w:rPr>
          <w:szCs w:val="32"/>
        </w:rPr>
        <w:t>亚洲</w:t>
      </w:r>
      <w:r>
        <w:rPr>
          <w:rFonts w:hint="eastAsia"/>
          <w:szCs w:val="32"/>
        </w:rPr>
        <w:t>第一</w:t>
      </w:r>
      <w:r>
        <w:rPr>
          <w:szCs w:val="32"/>
        </w:rPr>
        <w:t>。</w:t>
      </w:r>
      <w:r>
        <w:rPr>
          <w:rFonts w:hint="eastAsia"/>
          <w:szCs w:val="32"/>
          <w:lang w:val="zh-TW"/>
        </w:rPr>
        <w:t>广泛开展冰雪运动知识技能普及推广活动，</w:t>
      </w:r>
      <w:r>
        <w:rPr>
          <w:rFonts w:hint="eastAsia"/>
          <w:szCs w:val="32"/>
        </w:rPr>
        <w:t>制作播出</w:t>
      </w:r>
      <w:r>
        <w:rPr>
          <w:szCs w:val="32"/>
        </w:rPr>
        <w:t>40期</w:t>
      </w:r>
      <w:r>
        <w:rPr>
          <w:rFonts w:hint="eastAsia"/>
          <w:szCs w:val="32"/>
        </w:rPr>
        <w:t>《冬奥知否》专题节目</w:t>
      </w:r>
      <w:r>
        <w:rPr>
          <w:szCs w:val="32"/>
        </w:rPr>
        <w:t>，</w:t>
      </w:r>
      <w:r>
        <w:rPr>
          <w:rFonts w:hint="eastAsia"/>
          <w:szCs w:val="32"/>
        </w:rPr>
        <w:t>7期</w:t>
      </w:r>
      <w:r>
        <w:rPr>
          <w:rFonts w:hint="eastAsia" w:hAnsi="宋体-18030"/>
          <w:szCs w:val="32"/>
        </w:rPr>
        <w:t>“筑梦冰雪 北京时刻”动画短视频，市体育局新媒体等平台同时矩阵式推广。</w:t>
      </w:r>
      <w:r>
        <w:rPr>
          <w:rFonts w:hint="eastAsia"/>
          <w:szCs w:val="32"/>
        </w:rPr>
        <w:t>组织话题投票等活动，微博“快乐冰雪季”超话关注量达到16.3亿人次，不断激发</w:t>
      </w:r>
      <w:r>
        <w:rPr>
          <w:rFonts w:hint="eastAsia"/>
          <w:bCs/>
        </w:rPr>
        <w:t>群众参与冰雪运动的热情，营造良好的冬奥氛围。</w:t>
      </w:r>
    </w:p>
    <w:p>
      <w:pPr>
        <w:spacing w:line="520" w:lineRule="exact"/>
        <w:ind w:firstLine="590" w:firstLineChars="200"/>
        <w:rPr>
          <w:szCs w:val="32"/>
        </w:rPr>
      </w:pPr>
      <w:r>
        <w:rPr>
          <w:rFonts w:hint="eastAsia"/>
          <w:bCs/>
        </w:rPr>
        <w:t>做好体育赛事活动信息公开。</w:t>
      </w:r>
      <w:r>
        <w:rPr>
          <w:rFonts w:hint="eastAsia" w:hAnsi="宋体-18030"/>
          <w:szCs w:val="32"/>
        </w:rPr>
        <w:t>举办国际泳联冠军游泳系列赛北京</w:t>
      </w:r>
      <w:r>
        <w:rPr>
          <w:rFonts w:hAnsi="宋体-18030"/>
          <w:szCs w:val="32"/>
        </w:rPr>
        <w:t>站比赛</w:t>
      </w:r>
      <w:r>
        <w:rPr>
          <w:rFonts w:hint="eastAsia" w:hAnsi="宋体-18030"/>
          <w:szCs w:val="32"/>
        </w:rPr>
        <w:t>。有</w:t>
      </w:r>
      <w:r>
        <w:rPr>
          <w:rFonts w:hAnsi="宋体-18030"/>
          <w:szCs w:val="32"/>
        </w:rPr>
        <w:t>序</w:t>
      </w:r>
      <w:r>
        <w:rPr>
          <w:rFonts w:hint="eastAsia" w:hAnsi="宋体-18030"/>
          <w:szCs w:val="32"/>
        </w:rPr>
        <w:t>恢复</w:t>
      </w:r>
      <w:r>
        <w:rPr>
          <w:rFonts w:hAnsi="宋体-18030"/>
          <w:szCs w:val="32"/>
        </w:rPr>
        <w:t>开展体育</w:t>
      </w:r>
      <w:r>
        <w:rPr>
          <w:rFonts w:hint="eastAsia" w:hAnsi="宋体-18030"/>
          <w:szCs w:val="32"/>
        </w:rPr>
        <w:t>赛事活动，明确</w:t>
      </w:r>
      <w:r>
        <w:rPr>
          <w:rFonts w:hAnsi="宋体-18030"/>
          <w:szCs w:val="32"/>
        </w:rPr>
        <w:t>办</w:t>
      </w:r>
      <w:r>
        <w:rPr>
          <w:rFonts w:hint="eastAsia" w:hAnsi="宋体-18030"/>
          <w:szCs w:val="32"/>
        </w:rPr>
        <w:t>赛</w:t>
      </w:r>
      <w:r>
        <w:rPr>
          <w:rFonts w:hAnsi="宋体-18030"/>
          <w:szCs w:val="32"/>
        </w:rPr>
        <w:t>主体</w:t>
      </w:r>
      <w:r>
        <w:rPr>
          <w:rFonts w:hint="eastAsia" w:hAnsi="宋体-18030"/>
          <w:szCs w:val="32"/>
        </w:rPr>
        <w:t>责任，北京市体育赛事管理系统平台共审核发布市级（含）以上赛事信息207项，完成对省级（含）以下航空体育竞赛活动的备案3项。</w:t>
      </w:r>
      <w:r>
        <w:rPr>
          <w:rFonts w:hint="eastAsia"/>
          <w:szCs w:val="32"/>
          <w:lang w:bidi="zh-TW"/>
        </w:rPr>
        <w:t>创新开展裁判员培训和等级认</w:t>
      </w:r>
      <w:r>
        <w:rPr>
          <w:szCs w:val="32"/>
          <w:lang w:bidi="zh-TW"/>
        </w:rPr>
        <w:t>定</w:t>
      </w:r>
      <w:r>
        <w:rPr>
          <w:rFonts w:hint="eastAsia"/>
          <w:szCs w:val="32"/>
          <w:lang w:bidi="zh-TW"/>
        </w:rPr>
        <w:t>工作，</w:t>
      </w:r>
      <w:r>
        <w:rPr>
          <w:rFonts w:hint="eastAsia" w:hAnsi="宋体-18030"/>
          <w:szCs w:val="32"/>
        </w:rPr>
        <w:t>批准</w:t>
      </w:r>
      <w:r>
        <w:rPr>
          <w:rFonts w:hAnsi="宋体-18030"/>
          <w:szCs w:val="32"/>
        </w:rPr>
        <w:t>19</w:t>
      </w:r>
      <w:r>
        <w:rPr>
          <w:rFonts w:hint="eastAsia" w:hAnsi="宋体-18030"/>
          <w:szCs w:val="32"/>
        </w:rPr>
        <w:t>批次</w:t>
      </w:r>
      <w:r>
        <w:rPr>
          <w:rFonts w:hAnsi="宋体-18030"/>
          <w:szCs w:val="32"/>
        </w:rPr>
        <w:t>19</w:t>
      </w:r>
      <w:r>
        <w:rPr>
          <w:rFonts w:hint="eastAsia" w:hAnsi="宋体-18030"/>
          <w:szCs w:val="32"/>
        </w:rPr>
        <w:t>个项目</w:t>
      </w:r>
      <w:r>
        <w:rPr>
          <w:rFonts w:hAnsi="宋体-18030"/>
          <w:szCs w:val="32"/>
        </w:rPr>
        <w:t>300</w:t>
      </w:r>
      <w:r>
        <w:rPr>
          <w:rFonts w:hint="eastAsia" w:hAnsi="宋体-18030"/>
          <w:szCs w:val="32"/>
        </w:rPr>
        <w:t>人次一级裁判员称号。</w:t>
      </w:r>
      <w:r>
        <w:rPr>
          <w:rFonts w:hint="eastAsia"/>
          <w:szCs w:val="32"/>
        </w:rPr>
        <w:t>成立2023年亚足联中国亚洲杯北京赛区组委会</w:t>
      </w:r>
      <w:r>
        <w:rPr>
          <w:szCs w:val="32"/>
        </w:rPr>
        <w:t>，</w:t>
      </w:r>
      <w:r>
        <w:rPr>
          <w:rFonts w:hint="eastAsia"/>
          <w:szCs w:val="32"/>
        </w:rPr>
        <w:t>高效组织</w:t>
      </w:r>
      <w:r>
        <w:rPr>
          <w:szCs w:val="32"/>
        </w:rPr>
        <w:t>筹办亚洲杯</w:t>
      </w:r>
      <w:r>
        <w:rPr>
          <w:rFonts w:hint="eastAsia"/>
          <w:szCs w:val="32"/>
        </w:rPr>
        <w:t>北京</w:t>
      </w:r>
      <w:r>
        <w:rPr>
          <w:szCs w:val="32"/>
        </w:rPr>
        <w:t>赛区</w:t>
      </w:r>
      <w:r>
        <w:rPr>
          <w:rFonts w:hint="eastAsia"/>
          <w:szCs w:val="32"/>
        </w:rPr>
        <w:t>各</w:t>
      </w:r>
      <w:r>
        <w:rPr>
          <w:szCs w:val="32"/>
        </w:rPr>
        <w:t>项工作</w:t>
      </w:r>
      <w:r>
        <w:rPr>
          <w:rFonts w:hint="eastAsia"/>
          <w:szCs w:val="32"/>
        </w:rPr>
        <w:t>。</w:t>
      </w:r>
    </w:p>
    <w:p>
      <w:pPr>
        <w:spacing w:line="520" w:lineRule="exact"/>
        <w:ind w:firstLine="590" w:firstLineChars="200"/>
        <w:rPr>
          <w:rFonts w:ascii="楷体_GB2312" w:eastAsia="楷体_GB2312"/>
        </w:rPr>
      </w:pPr>
      <w:r>
        <w:rPr>
          <w:rFonts w:hint="eastAsia" w:ascii="楷体_GB2312" w:eastAsia="楷体_GB2312"/>
        </w:rPr>
        <w:t>（二）依申请公开办</w:t>
      </w:r>
      <w:r>
        <w:rPr>
          <w:rFonts w:ascii="楷体_GB2312" w:eastAsia="楷体_GB2312"/>
        </w:rPr>
        <w:t>理情况</w:t>
      </w:r>
    </w:p>
    <w:p>
      <w:pPr>
        <w:spacing w:line="520" w:lineRule="exact"/>
        <w:ind w:firstLine="590" w:firstLineChars="200"/>
        <w:rPr>
          <w:rFonts w:hAnsi="宋体" w:cs="仿宋_GB2312"/>
          <w:kern w:val="0"/>
          <w:szCs w:val="32"/>
        </w:rPr>
      </w:pPr>
      <w:r>
        <w:rPr>
          <w:rFonts w:hint="eastAsia"/>
          <w:szCs w:val="32"/>
        </w:rPr>
        <w:t>规范</w:t>
      </w:r>
      <w:r>
        <w:rPr>
          <w:szCs w:val="32"/>
        </w:rPr>
        <w:t>办理</w:t>
      </w:r>
      <w:r>
        <w:rPr>
          <w:rFonts w:hAnsi="宋体" w:cs="仿宋_GB2312"/>
          <w:kern w:val="0"/>
          <w:szCs w:val="32"/>
        </w:rPr>
        <w:t>政府信息</w:t>
      </w:r>
      <w:r>
        <w:rPr>
          <w:rFonts w:hint="eastAsia" w:hAnsi="宋体" w:cs="仿宋_GB2312"/>
          <w:kern w:val="0"/>
          <w:szCs w:val="32"/>
        </w:rPr>
        <w:t>公开申请。</w:t>
      </w:r>
      <w:r>
        <w:rPr>
          <w:rFonts w:hint="eastAsia" w:hAnsi="宋体" w:cs="仿宋_GB2312"/>
          <w:bCs/>
          <w:kern w:val="0"/>
          <w:szCs w:val="32"/>
        </w:rPr>
        <w:t>严格依法办理申请，</w:t>
      </w:r>
      <w:r>
        <w:rPr>
          <w:rFonts w:hint="eastAsia"/>
          <w:szCs w:val="32"/>
        </w:rPr>
        <w:t>确保申请受理和咨询渠道畅通，</w:t>
      </w:r>
      <w:r>
        <w:rPr>
          <w:rFonts w:hint="eastAsia" w:hAnsi="宋体" w:cs="仿宋_GB2312"/>
          <w:bCs/>
          <w:kern w:val="0"/>
          <w:szCs w:val="32"/>
        </w:rPr>
        <w:t>确保答复时限的合法性、答复形式和内容的规范性和针对性。</w:t>
      </w:r>
      <w:r>
        <w:rPr>
          <w:rFonts w:hint="eastAsia" w:hAnsi="宋体" w:cs="仿宋_GB2312"/>
          <w:kern w:val="0"/>
          <w:szCs w:val="32"/>
        </w:rPr>
        <w:t>2020年</w:t>
      </w:r>
      <w:r>
        <w:rPr>
          <w:rFonts w:hAnsi="宋体" w:cs="仿宋_GB2312"/>
          <w:kern w:val="0"/>
          <w:szCs w:val="32"/>
        </w:rPr>
        <w:t>，</w:t>
      </w:r>
      <w:r>
        <w:rPr>
          <w:rFonts w:hint="eastAsia" w:hAnsi="宋体" w:cs="仿宋_GB2312"/>
          <w:kern w:val="0"/>
          <w:szCs w:val="32"/>
        </w:rPr>
        <w:t>市体育局收到</w:t>
      </w:r>
      <w:r>
        <w:rPr>
          <w:rFonts w:hAnsi="宋体" w:cs="仿宋_GB2312"/>
          <w:kern w:val="0"/>
          <w:szCs w:val="32"/>
        </w:rPr>
        <w:t>政府信息</w:t>
      </w:r>
      <w:r>
        <w:rPr>
          <w:rFonts w:hint="eastAsia" w:hAnsi="宋体" w:cs="仿宋_GB2312"/>
          <w:kern w:val="0"/>
          <w:szCs w:val="32"/>
        </w:rPr>
        <w:t>公开申请</w:t>
      </w:r>
      <w:r>
        <w:rPr>
          <w:rFonts w:hAnsi="宋体" w:cs="仿宋_GB2312"/>
          <w:kern w:val="0"/>
          <w:szCs w:val="32"/>
        </w:rPr>
        <w:t>3</w:t>
      </w:r>
      <w:r>
        <w:rPr>
          <w:rFonts w:hint="eastAsia" w:hAnsi="宋体" w:cs="仿宋_GB2312"/>
          <w:kern w:val="0"/>
          <w:szCs w:val="32"/>
        </w:rPr>
        <w:t>件，全部按期答复</w:t>
      </w:r>
      <w:r>
        <w:rPr>
          <w:rFonts w:hint="eastAsia" w:cs="仿宋_GB2312"/>
          <w:szCs w:val="32"/>
        </w:rPr>
        <w:t>。</w:t>
      </w:r>
      <w:r>
        <w:rPr>
          <w:rFonts w:hint="eastAsia" w:hAnsi="宋体" w:cs="仿宋_GB2312"/>
          <w:kern w:val="0"/>
          <w:szCs w:val="32"/>
        </w:rPr>
        <w:t>申请内容主要涉及体育</w:t>
      </w:r>
      <w:r>
        <w:rPr>
          <w:rFonts w:hAnsi="宋体" w:cs="仿宋_GB2312"/>
          <w:kern w:val="0"/>
          <w:szCs w:val="32"/>
        </w:rPr>
        <w:t>运动项目经营单位</w:t>
      </w:r>
      <w:r>
        <w:rPr>
          <w:rFonts w:hint="eastAsia" w:hAnsi="宋体" w:cs="仿宋_GB2312"/>
          <w:kern w:val="0"/>
          <w:szCs w:val="32"/>
        </w:rPr>
        <w:t>监管</w:t>
      </w:r>
      <w:r>
        <w:rPr>
          <w:rFonts w:hAnsi="宋体" w:cs="仿宋_GB2312"/>
          <w:kern w:val="0"/>
          <w:szCs w:val="32"/>
        </w:rPr>
        <w:t>和国民体质监测情况</w:t>
      </w:r>
      <w:r>
        <w:rPr>
          <w:rFonts w:hint="eastAsia"/>
        </w:rPr>
        <w:t>等方面。</w:t>
      </w:r>
    </w:p>
    <w:p>
      <w:pPr>
        <w:spacing w:line="520" w:lineRule="exact"/>
        <w:ind w:firstLine="590" w:firstLineChars="200"/>
        <w:rPr>
          <w:rFonts w:ascii="楷体_GB2312" w:eastAsia="楷体_GB2312"/>
        </w:rPr>
      </w:pPr>
      <w:r>
        <w:rPr>
          <w:rFonts w:hint="eastAsia" w:ascii="楷体_GB2312" w:eastAsia="楷体_GB2312"/>
        </w:rPr>
        <w:t>（三）政府信息资源的</w:t>
      </w:r>
      <w:r>
        <w:rPr>
          <w:rFonts w:ascii="楷体_GB2312" w:eastAsia="楷体_GB2312"/>
        </w:rPr>
        <w:t>规范化、标准化管理情况</w:t>
      </w:r>
    </w:p>
    <w:p>
      <w:pPr>
        <w:spacing w:line="520" w:lineRule="exact"/>
        <w:ind w:firstLine="590" w:firstLineChars="200"/>
        <w:rPr>
          <w:szCs w:val="32"/>
        </w:rPr>
      </w:pPr>
      <w:r>
        <w:rPr>
          <w:rFonts w:hint="eastAsia"/>
          <w:bCs/>
          <w:szCs w:val="32"/>
        </w:rPr>
        <w:t>依法</w:t>
      </w:r>
      <w:r>
        <w:rPr>
          <w:bCs/>
          <w:szCs w:val="32"/>
        </w:rPr>
        <w:t>规范公开政府信息。</w:t>
      </w:r>
      <w:r>
        <w:rPr>
          <w:rFonts w:hint="eastAsia"/>
          <w:bCs/>
        </w:rPr>
        <w:t>发</w:t>
      </w:r>
      <w:r>
        <w:rPr>
          <w:bCs/>
        </w:rPr>
        <w:t>布</w:t>
      </w:r>
      <w:r>
        <w:rPr>
          <w:rFonts w:hint="eastAsia"/>
          <w:bCs/>
        </w:rPr>
        <w:t>《北京市体育局2020年政务公开工作要点》及决策事项、公众参与事项目录，调整并</w:t>
      </w:r>
      <w:r>
        <w:rPr>
          <w:bCs/>
        </w:rPr>
        <w:t>公开</w:t>
      </w:r>
      <w:r>
        <w:rPr>
          <w:rFonts w:hint="eastAsia"/>
          <w:bCs/>
        </w:rPr>
        <w:t>《北京市体育局政府信息主动公开全清单》。</w:t>
      </w:r>
      <w:r>
        <w:rPr>
          <w:rFonts w:hint="eastAsia"/>
          <w:szCs w:val="32"/>
        </w:rPr>
        <w:t>2020年，市体育局网站发布信息</w:t>
      </w:r>
      <w:r>
        <w:rPr>
          <w:szCs w:val="32"/>
        </w:rPr>
        <w:t>2937</w:t>
      </w:r>
      <w:r>
        <w:rPr>
          <w:rFonts w:hint="eastAsia"/>
          <w:szCs w:val="32"/>
        </w:rPr>
        <w:t>条，更新业务数据</w:t>
      </w:r>
      <w:r>
        <w:rPr>
          <w:szCs w:val="32"/>
        </w:rPr>
        <w:t>3537</w:t>
      </w:r>
      <w:r>
        <w:rPr>
          <w:rFonts w:hint="eastAsia"/>
          <w:szCs w:val="32"/>
        </w:rPr>
        <w:t>条；政务新媒体发布文章</w:t>
      </w:r>
      <w:r>
        <w:rPr>
          <w:szCs w:val="32"/>
        </w:rPr>
        <w:t>1696</w:t>
      </w:r>
      <w:r>
        <w:rPr>
          <w:rFonts w:hint="eastAsia"/>
          <w:szCs w:val="32"/>
        </w:rPr>
        <w:t>篇，其中微博</w:t>
      </w:r>
      <w:r>
        <w:rPr>
          <w:szCs w:val="32"/>
        </w:rPr>
        <w:t>1351条、</w:t>
      </w:r>
      <w:r>
        <w:rPr>
          <w:rFonts w:hint="eastAsia"/>
          <w:szCs w:val="32"/>
        </w:rPr>
        <w:t>微信</w:t>
      </w:r>
      <w:r>
        <w:rPr>
          <w:szCs w:val="32"/>
        </w:rPr>
        <w:t>165条、头条180条信息。</w:t>
      </w:r>
    </w:p>
    <w:p>
      <w:pPr>
        <w:spacing w:line="520" w:lineRule="exact"/>
        <w:ind w:firstLine="590" w:firstLineChars="200"/>
        <w:rPr>
          <w:bCs/>
        </w:rPr>
      </w:pPr>
      <w:r>
        <w:rPr>
          <w:rFonts w:hint="eastAsia" w:hAnsi="宋体-18030"/>
          <w:szCs w:val="32"/>
        </w:rPr>
        <w:t>推进办事服务信息公开。动态更新政务服务事项标准化工作流程和办事指南，在市体育局网站与市网上政务服务大厅实行同源管理、同源发布。</w:t>
      </w:r>
      <w:r>
        <w:rPr>
          <w:rFonts w:hint="eastAsia"/>
          <w:szCs w:val="32"/>
        </w:rPr>
        <w:t>推行“一网</w:t>
      </w:r>
      <w:r>
        <w:rPr>
          <w:szCs w:val="32"/>
        </w:rPr>
        <w:t>通办</w:t>
      </w:r>
      <w:r>
        <w:rPr>
          <w:rFonts w:hint="eastAsia"/>
          <w:szCs w:val="32"/>
        </w:rPr>
        <w:t>”，10项依</w:t>
      </w:r>
      <w:r>
        <w:rPr>
          <w:szCs w:val="32"/>
        </w:rPr>
        <w:t>申请</w:t>
      </w:r>
      <w:r>
        <w:rPr>
          <w:rFonts w:hint="eastAsia"/>
          <w:szCs w:val="32"/>
        </w:rPr>
        <w:t>政务服务事项实现全程网办，比例</w:t>
      </w:r>
      <w:r>
        <w:rPr>
          <w:szCs w:val="32"/>
        </w:rPr>
        <w:t>达</w:t>
      </w:r>
      <w:r>
        <w:rPr>
          <w:rFonts w:hint="eastAsia"/>
          <w:szCs w:val="32"/>
        </w:rPr>
        <w:t>83</w:t>
      </w:r>
      <w:r>
        <w:rPr>
          <w:szCs w:val="32"/>
        </w:rPr>
        <w:t>%。精简依申请政务服务事项申请材料</w:t>
      </w:r>
      <w:r>
        <w:rPr>
          <w:rFonts w:hint="eastAsia"/>
          <w:szCs w:val="32"/>
        </w:rPr>
        <w:t>30%，压减时限37%。</w:t>
      </w:r>
    </w:p>
    <w:p>
      <w:pPr>
        <w:spacing w:line="520" w:lineRule="exact"/>
        <w:ind w:firstLine="590" w:firstLineChars="200"/>
        <w:rPr>
          <w:rFonts w:ascii="楷体_GB2312" w:eastAsia="楷体_GB2312"/>
          <w:bCs/>
        </w:rPr>
      </w:pPr>
      <w:r>
        <w:rPr>
          <w:rFonts w:hint="eastAsia" w:ascii="楷体_GB2312" w:eastAsia="楷体_GB2312"/>
          <w:bCs/>
        </w:rPr>
        <w:t>（四）政府</w:t>
      </w:r>
      <w:r>
        <w:rPr>
          <w:rFonts w:ascii="楷体_GB2312" w:eastAsia="楷体_GB2312"/>
          <w:bCs/>
        </w:rPr>
        <w:t>信息公开平台建设</w:t>
      </w:r>
      <w:r>
        <w:rPr>
          <w:rFonts w:hint="eastAsia" w:ascii="楷体_GB2312" w:eastAsia="楷体_GB2312"/>
          <w:bCs/>
        </w:rPr>
        <w:t>情况</w:t>
      </w:r>
    </w:p>
    <w:p>
      <w:pPr>
        <w:spacing w:line="520" w:lineRule="exact"/>
        <w:ind w:firstLine="590" w:firstLineChars="200"/>
        <w:rPr>
          <w:bCs/>
        </w:rPr>
      </w:pPr>
      <w:r>
        <w:rPr>
          <w:rFonts w:hint="eastAsia" w:hAnsi="仿宋_GB2312" w:cs="仿宋_GB2312"/>
          <w:szCs w:val="32"/>
        </w:rPr>
        <w:t>加强信息公开平</w:t>
      </w:r>
      <w:r>
        <w:rPr>
          <w:rFonts w:hAnsi="仿宋_GB2312" w:cs="仿宋_GB2312"/>
          <w:szCs w:val="32"/>
        </w:rPr>
        <w:t>台</w:t>
      </w:r>
      <w:r>
        <w:rPr>
          <w:rFonts w:hint="eastAsia" w:hAnsi="仿宋_GB2312" w:cs="仿宋_GB2312"/>
          <w:szCs w:val="32"/>
        </w:rPr>
        <w:t>建设管理。持续推进网站功能建设，落实全市网站页面设计统一规范，加快完成政府网站移动端适配改造，提供流畅的“掌上服务”。</w:t>
      </w:r>
      <w:r>
        <w:rPr>
          <w:rFonts w:hint="eastAsia" w:hAnsi="仿宋_GB2312" w:cs="仿宋_GB2312"/>
          <w:bCs/>
          <w:szCs w:val="32"/>
        </w:rPr>
        <w:t>规范管理政务新媒体，明确工作职责，健全管理机制</w:t>
      </w:r>
      <w:r>
        <w:rPr>
          <w:rFonts w:hint="eastAsia"/>
          <w:bCs/>
        </w:rPr>
        <w:t>，不</w:t>
      </w:r>
      <w:r>
        <w:rPr>
          <w:bCs/>
        </w:rPr>
        <w:t>断提升</w:t>
      </w:r>
      <w:r>
        <w:rPr>
          <w:rFonts w:hint="eastAsia"/>
          <w:bCs/>
        </w:rPr>
        <w:t>政务</w:t>
      </w:r>
      <w:r>
        <w:rPr>
          <w:bCs/>
        </w:rPr>
        <w:t>公开工作水平</w:t>
      </w:r>
      <w:r>
        <w:rPr>
          <w:rFonts w:hint="eastAsia" w:hAnsi="仿宋_GB2312" w:cs="仿宋_GB2312"/>
          <w:bCs/>
          <w:szCs w:val="32"/>
        </w:rPr>
        <w:t>。</w:t>
      </w:r>
      <w:r>
        <w:rPr>
          <w:rFonts w:hint="eastAsia"/>
          <w:bCs/>
        </w:rPr>
        <w:t>及时做好网民留言办理答复工作，2</w:t>
      </w:r>
      <w:r>
        <w:rPr>
          <w:bCs/>
        </w:rPr>
        <w:t>0</w:t>
      </w:r>
      <w:r>
        <w:rPr>
          <w:rFonts w:hint="eastAsia"/>
          <w:bCs/>
        </w:rPr>
        <w:t>20年，收</w:t>
      </w:r>
      <w:r>
        <w:rPr>
          <w:bCs/>
        </w:rPr>
        <w:t>到</w:t>
      </w:r>
      <w:r>
        <w:rPr>
          <w:rFonts w:hint="eastAsia"/>
          <w:bCs/>
        </w:rPr>
        <w:t>公众咨询留言</w:t>
      </w:r>
      <w:r>
        <w:rPr>
          <w:bCs/>
        </w:rPr>
        <w:t>142</w:t>
      </w:r>
      <w:r>
        <w:rPr>
          <w:rFonts w:hint="eastAsia"/>
          <w:bCs/>
        </w:rPr>
        <w:t>件，答复率100%。</w:t>
      </w:r>
    </w:p>
    <w:p>
      <w:pPr>
        <w:spacing w:line="520" w:lineRule="exact"/>
        <w:ind w:firstLine="590" w:firstLineChars="200"/>
        <w:rPr>
          <w:rFonts w:ascii="楷体_GB2312" w:eastAsia="楷体_GB2312"/>
          <w:bCs/>
        </w:rPr>
      </w:pPr>
      <w:r>
        <w:rPr>
          <w:rFonts w:hint="eastAsia" w:ascii="楷体_GB2312" w:eastAsia="楷体_GB2312"/>
          <w:bCs/>
        </w:rPr>
        <w:t>（五）政府信息公开教育培训及监督保障情况</w:t>
      </w:r>
    </w:p>
    <w:p>
      <w:pPr>
        <w:spacing w:line="520" w:lineRule="exact"/>
        <w:ind w:firstLine="590" w:firstLineChars="200"/>
        <w:rPr>
          <w:rFonts w:cs="仿宋_GB2312"/>
          <w:bCs/>
          <w:color w:val="000000"/>
          <w:szCs w:val="32"/>
        </w:rPr>
      </w:pPr>
      <w:r>
        <w:rPr>
          <w:rFonts w:hint="eastAsia" w:cs="仿宋_GB2312"/>
          <w:bCs/>
          <w:color w:val="000000"/>
          <w:szCs w:val="32"/>
        </w:rPr>
        <w:t>注重公开工作教育培训。深入学习贯彻</w:t>
      </w:r>
      <w:r>
        <w:t>《政府信息公开条例》</w:t>
      </w:r>
      <w:r>
        <w:rPr>
          <w:rFonts w:hint="eastAsia"/>
        </w:rPr>
        <w:t>，借助干部教育学习平台，公开工作人员进行有针对性的学习提升；</w:t>
      </w:r>
      <w:r>
        <w:rPr>
          <w:rFonts w:hint="eastAsia" w:hAnsi="仿宋_GB2312" w:cs="仿宋_GB2312"/>
          <w:szCs w:val="32"/>
        </w:rPr>
        <w:t>规范政府</w:t>
      </w:r>
      <w:r>
        <w:rPr>
          <w:rFonts w:hAnsi="仿宋_GB2312" w:cs="仿宋_GB2312"/>
          <w:szCs w:val="32"/>
        </w:rPr>
        <w:t>信息</w:t>
      </w:r>
      <w:r>
        <w:rPr>
          <w:rFonts w:hint="eastAsia" w:hAnsi="仿宋_GB2312" w:cs="仿宋_GB2312"/>
          <w:szCs w:val="32"/>
        </w:rPr>
        <w:t>公开工作流程，不断完善信息公开管理制度，</w:t>
      </w:r>
      <w:r>
        <w:rPr>
          <w:rFonts w:hint="eastAsia"/>
        </w:rPr>
        <w:t>举办专题</w:t>
      </w:r>
      <w:r>
        <w:rPr>
          <w:rFonts w:hint="eastAsia" w:cs="仿宋_GB2312"/>
          <w:bCs/>
          <w:color w:val="000000"/>
          <w:szCs w:val="32"/>
        </w:rPr>
        <w:t>培训，</w:t>
      </w:r>
      <w:r>
        <w:rPr>
          <w:rFonts w:hint="eastAsia" w:hAnsi="仿宋_GB2312" w:cs="仿宋_GB2312"/>
          <w:szCs w:val="32"/>
        </w:rPr>
        <w:t>进一步提高工作人员政策理论素质和管理服务水平。</w:t>
      </w:r>
    </w:p>
    <w:p>
      <w:pPr>
        <w:spacing w:line="520" w:lineRule="exact"/>
        <w:ind w:firstLine="590" w:firstLineChars="200"/>
        <w:rPr>
          <w:rFonts w:cs="仿宋_GB2312"/>
          <w:szCs w:val="32"/>
          <w:lang w:val="zh-CN"/>
        </w:rPr>
      </w:pPr>
      <w:r>
        <w:rPr>
          <w:rFonts w:hint="eastAsia" w:hAnsi="楷体"/>
          <w:color w:val="000000"/>
          <w:szCs w:val="32"/>
        </w:rPr>
        <w:t>加强</w:t>
      </w:r>
      <w:r>
        <w:rPr>
          <w:rFonts w:hAnsi="楷体"/>
          <w:color w:val="000000"/>
          <w:szCs w:val="32"/>
        </w:rPr>
        <w:t>信息</w:t>
      </w:r>
      <w:r>
        <w:rPr>
          <w:rFonts w:hint="eastAsia" w:hAnsi="楷体"/>
          <w:color w:val="000000"/>
          <w:szCs w:val="32"/>
        </w:rPr>
        <w:t>公开督导工作。持续加大对全局系统政府</w:t>
      </w:r>
      <w:r>
        <w:rPr>
          <w:rFonts w:hAnsi="楷体"/>
          <w:color w:val="000000"/>
          <w:szCs w:val="32"/>
        </w:rPr>
        <w:t>信息</w:t>
      </w:r>
      <w:r>
        <w:rPr>
          <w:rFonts w:hint="eastAsia" w:hAnsi="楷体"/>
          <w:color w:val="000000"/>
          <w:szCs w:val="32"/>
        </w:rPr>
        <w:t>公开工作的指导和监督力度，按标准全面公开政府信息，按规范推进信息公开工作，不断提升政务服务效率和水平。</w:t>
      </w:r>
    </w:p>
    <w:p>
      <w:pPr>
        <w:ind w:firstLine="590" w:firstLineChars="200"/>
        <w:rPr>
          <w:rFonts w:ascii="黑体" w:hAnsi="黑体" w:eastAsia="黑体"/>
          <w:bCs/>
        </w:rPr>
      </w:pPr>
      <w:r>
        <w:rPr>
          <w:rFonts w:hint="eastAsia" w:ascii="黑体" w:hAnsi="黑体" w:eastAsia="黑体"/>
          <w:bCs/>
        </w:rPr>
        <w:t>二、主动公开政府信息情况</w:t>
      </w:r>
    </w:p>
    <w:tbl>
      <w:tblPr>
        <w:tblStyle w:val="7"/>
        <w:tblW w:w="0" w:type="auto"/>
        <w:jc w:val="center"/>
        <w:tblLayout w:type="fixed"/>
        <w:tblCellMar>
          <w:top w:w="0" w:type="dxa"/>
          <w:left w:w="108" w:type="dxa"/>
          <w:bottom w:w="0" w:type="dxa"/>
          <w:right w:w="108" w:type="dxa"/>
        </w:tblCellMar>
      </w:tblPr>
      <w:tblGrid>
        <w:gridCol w:w="1789"/>
        <w:gridCol w:w="1467"/>
        <w:gridCol w:w="2175"/>
        <w:gridCol w:w="1887"/>
        <w:gridCol w:w="1866"/>
      </w:tblGrid>
      <w:tr>
        <w:tblPrEx>
          <w:tblCellMar>
            <w:top w:w="0" w:type="dxa"/>
            <w:left w:w="108" w:type="dxa"/>
            <w:bottom w:w="0" w:type="dxa"/>
            <w:right w:w="108" w:type="dxa"/>
          </w:tblCellMar>
        </w:tblPrEx>
        <w:trPr>
          <w:trHeight w:val="454" w:hRule="atLeast"/>
          <w:jc w:val="center"/>
        </w:trPr>
        <w:tc>
          <w:tcPr>
            <w:tcW w:w="9184" w:type="dxa"/>
            <w:gridSpan w:val="5"/>
            <w:tcBorders>
              <w:top w:val="single" w:color="auto" w:sz="4" w:space="0"/>
              <w:left w:val="single" w:color="auto" w:sz="4" w:space="0"/>
              <w:bottom w:val="single" w:color="auto" w:sz="4" w:space="0"/>
              <w:right w:val="single" w:color="auto" w:sz="4" w:space="0"/>
            </w:tcBorders>
            <w:shd w:val="clear" w:color="auto" w:fill="5B9BD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第二十条第（一）项</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信息内容</w:t>
            </w:r>
          </w:p>
        </w:tc>
        <w:tc>
          <w:tcPr>
            <w:tcW w:w="2175"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本年新制作数量</w:t>
            </w:r>
          </w:p>
        </w:tc>
        <w:tc>
          <w:tcPr>
            <w:tcW w:w="1887"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本年新公开数量</w:t>
            </w:r>
          </w:p>
        </w:tc>
        <w:tc>
          <w:tcPr>
            <w:tcW w:w="1866"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对外公开总数量</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规章</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1887"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1866"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规范性文件</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r>
              <w:rPr>
                <w:rFonts w:ascii="Calibri" w:hAnsi="Calibri" w:eastAsia="宋体" w:cs="Times New Roman"/>
                <w:sz w:val="21"/>
                <w:szCs w:val="24"/>
              </w:rPr>
              <w:t>0</w:t>
            </w:r>
          </w:p>
        </w:tc>
        <w:tc>
          <w:tcPr>
            <w:tcW w:w="1887"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r>
              <w:rPr>
                <w:rFonts w:ascii="Calibri" w:hAnsi="Calibri" w:eastAsia="宋体" w:cs="Times New Roman"/>
                <w:sz w:val="21"/>
                <w:szCs w:val="24"/>
              </w:rPr>
              <w:t>0</w:t>
            </w:r>
          </w:p>
        </w:tc>
        <w:tc>
          <w:tcPr>
            <w:tcW w:w="1866"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3</w:t>
            </w:r>
            <w:r>
              <w:rPr>
                <w:rFonts w:hint="eastAsia" w:ascii="Calibri" w:hAnsi="Calibri" w:eastAsia="宋体" w:cs="Times New Roman"/>
                <w:sz w:val="21"/>
                <w:szCs w:val="24"/>
                <w:lang w:val="en-US" w:eastAsia="zh-CN"/>
              </w:rPr>
              <w:t>1</w:t>
            </w:r>
            <w:bookmarkStart w:id="0" w:name="_GoBack"/>
            <w:bookmarkEnd w:id="0"/>
          </w:p>
        </w:tc>
      </w:tr>
      <w:tr>
        <w:tblPrEx>
          <w:tblCellMar>
            <w:top w:w="0" w:type="dxa"/>
            <w:left w:w="108" w:type="dxa"/>
            <w:bottom w:w="0" w:type="dxa"/>
            <w:right w:w="108" w:type="dxa"/>
          </w:tblCellMar>
        </w:tblPrEx>
        <w:trPr>
          <w:trHeight w:val="454" w:hRule="atLeast"/>
          <w:jc w:val="center"/>
        </w:trPr>
        <w:tc>
          <w:tcPr>
            <w:tcW w:w="9184" w:type="dxa"/>
            <w:gridSpan w:val="5"/>
            <w:tcBorders>
              <w:top w:val="single" w:color="auto" w:sz="4" w:space="0"/>
              <w:left w:val="single" w:color="auto" w:sz="4" w:space="0"/>
              <w:bottom w:val="single" w:color="auto" w:sz="4" w:space="0"/>
              <w:right w:val="single" w:color="auto" w:sz="4" w:space="0"/>
            </w:tcBorders>
            <w:shd w:val="clear" w:color="auto" w:fill="5B9BD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第二十条第（五）项</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信息内容</w:t>
            </w:r>
          </w:p>
        </w:tc>
        <w:tc>
          <w:tcPr>
            <w:tcW w:w="2175"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上一年项目数量</w:t>
            </w:r>
          </w:p>
        </w:tc>
        <w:tc>
          <w:tcPr>
            <w:tcW w:w="1887"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本年增/减</w:t>
            </w:r>
          </w:p>
        </w:tc>
        <w:tc>
          <w:tcPr>
            <w:tcW w:w="1866"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处理决定数量</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行政许可</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2</w:t>
            </w:r>
          </w:p>
        </w:tc>
        <w:tc>
          <w:tcPr>
            <w:tcW w:w="1887"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1866"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7</w:t>
            </w:r>
          </w:p>
        </w:tc>
      </w:tr>
      <w:tr>
        <w:tblPrEx>
          <w:tblCellMar>
            <w:top w:w="0" w:type="dxa"/>
            <w:left w:w="108" w:type="dxa"/>
            <w:bottom w:w="0" w:type="dxa"/>
            <w:right w:w="108" w:type="dxa"/>
          </w:tblCellMar>
        </w:tblPrEx>
        <w:trPr>
          <w:trHeight w:val="454" w:hRule="atLeast"/>
          <w:jc w:val="center"/>
        </w:trPr>
        <w:tc>
          <w:tcPr>
            <w:tcW w:w="1789" w:type="dxa"/>
            <w:vMerge w:val="restart"/>
            <w:tcBorders>
              <w:top w:val="single" w:color="auto" w:sz="4" w:space="0"/>
              <w:left w:val="single" w:color="auto" w:sz="4" w:space="0"/>
              <w:right w:val="single" w:color="auto"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其他对外管理服务事项</w:t>
            </w:r>
          </w:p>
        </w:tc>
        <w:tc>
          <w:tcPr>
            <w:tcW w:w="1467" w:type="dxa"/>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w:t>
            </w:r>
            <w:r>
              <w:rPr>
                <w:rFonts w:ascii="Calibri" w:hAnsi="Calibri" w:eastAsia="宋体" w:cs="Times New Roman"/>
                <w:sz w:val="21"/>
                <w:szCs w:val="24"/>
              </w:rPr>
              <w:t>检查</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3</w:t>
            </w:r>
          </w:p>
        </w:tc>
        <w:tc>
          <w:tcPr>
            <w:tcW w:w="1887"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1866"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40</w:t>
            </w:r>
          </w:p>
        </w:tc>
      </w:tr>
      <w:tr>
        <w:tblPrEx>
          <w:tblCellMar>
            <w:top w:w="0" w:type="dxa"/>
            <w:left w:w="108" w:type="dxa"/>
            <w:bottom w:w="0" w:type="dxa"/>
            <w:right w:w="108" w:type="dxa"/>
          </w:tblCellMar>
        </w:tblPrEx>
        <w:trPr>
          <w:trHeight w:val="454" w:hRule="atLeast"/>
          <w:jc w:val="center"/>
        </w:trPr>
        <w:tc>
          <w:tcPr>
            <w:tcW w:w="1789" w:type="dxa"/>
            <w:vMerge w:val="continue"/>
            <w:tcBorders>
              <w:left w:val="single" w:color="auto" w:sz="4" w:space="0"/>
              <w:bottom w:val="single" w:color="auto" w:sz="4" w:space="0"/>
              <w:right w:val="single" w:color="auto" w:sz="4" w:space="0"/>
            </w:tcBorders>
            <w:shd w:val="clear" w:color="auto" w:fill="9CC2E5"/>
            <w:vAlign w:val="center"/>
          </w:tcPr>
          <w:p>
            <w:pPr>
              <w:widowControl w:val="0"/>
              <w:spacing w:line="240" w:lineRule="auto"/>
              <w:jc w:val="center"/>
              <w:rPr>
                <w:rFonts w:ascii="Calibri" w:hAnsi="Calibri" w:eastAsia="宋体" w:cs="Times New Roman"/>
                <w:sz w:val="21"/>
                <w:szCs w:val="24"/>
              </w:rPr>
            </w:pPr>
          </w:p>
        </w:tc>
        <w:tc>
          <w:tcPr>
            <w:tcW w:w="1467" w:type="dxa"/>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w:t>
            </w:r>
            <w:r>
              <w:rPr>
                <w:rFonts w:ascii="Calibri" w:hAnsi="Calibri" w:eastAsia="宋体" w:cs="Times New Roman"/>
                <w:sz w:val="21"/>
                <w:szCs w:val="24"/>
              </w:rPr>
              <w:t>确认</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3</w:t>
            </w:r>
          </w:p>
        </w:tc>
        <w:tc>
          <w:tcPr>
            <w:tcW w:w="1887"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1866"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1942</w:t>
            </w:r>
          </w:p>
        </w:tc>
      </w:tr>
      <w:tr>
        <w:tblPrEx>
          <w:tblCellMar>
            <w:top w:w="0" w:type="dxa"/>
            <w:left w:w="108" w:type="dxa"/>
            <w:bottom w:w="0" w:type="dxa"/>
            <w:right w:w="108" w:type="dxa"/>
          </w:tblCellMar>
        </w:tblPrEx>
        <w:trPr>
          <w:trHeight w:val="454" w:hRule="atLeast"/>
          <w:jc w:val="center"/>
        </w:trPr>
        <w:tc>
          <w:tcPr>
            <w:tcW w:w="9184" w:type="dxa"/>
            <w:gridSpan w:val="5"/>
            <w:tcBorders>
              <w:top w:val="single" w:color="auto" w:sz="4" w:space="0"/>
              <w:left w:val="single" w:color="auto" w:sz="4" w:space="0"/>
              <w:bottom w:val="single" w:color="auto" w:sz="4" w:space="0"/>
              <w:right w:val="single" w:color="auto" w:sz="4" w:space="0"/>
            </w:tcBorders>
            <w:shd w:val="clear" w:color="auto" w:fill="5B9BD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第二十条第（六）项</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信息内容</w:t>
            </w:r>
          </w:p>
        </w:tc>
        <w:tc>
          <w:tcPr>
            <w:tcW w:w="2175"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上一年项目数量</w:t>
            </w:r>
          </w:p>
        </w:tc>
        <w:tc>
          <w:tcPr>
            <w:tcW w:w="1887"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本年增/减</w:t>
            </w:r>
          </w:p>
        </w:tc>
        <w:tc>
          <w:tcPr>
            <w:tcW w:w="1866"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处理决定数量</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行政处罚</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18</w:t>
            </w:r>
          </w:p>
        </w:tc>
        <w:tc>
          <w:tcPr>
            <w:tcW w:w="1887"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+7</w:t>
            </w:r>
          </w:p>
        </w:tc>
        <w:tc>
          <w:tcPr>
            <w:tcW w:w="1866"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行政强制</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1887"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1866"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CellMar>
            <w:top w:w="0" w:type="dxa"/>
            <w:left w:w="108" w:type="dxa"/>
            <w:bottom w:w="0" w:type="dxa"/>
            <w:right w:w="108" w:type="dxa"/>
          </w:tblCellMar>
        </w:tblPrEx>
        <w:trPr>
          <w:trHeight w:val="454" w:hRule="atLeast"/>
          <w:jc w:val="center"/>
        </w:trPr>
        <w:tc>
          <w:tcPr>
            <w:tcW w:w="9184" w:type="dxa"/>
            <w:gridSpan w:val="5"/>
            <w:tcBorders>
              <w:top w:val="single" w:color="auto" w:sz="4" w:space="0"/>
              <w:left w:val="single" w:color="auto" w:sz="4" w:space="0"/>
              <w:bottom w:val="single" w:color="000000" w:sz="8" w:space="0"/>
              <w:right w:val="single" w:color="auto" w:sz="4" w:space="0"/>
            </w:tcBorders>
            <w:shd w:val="clear" w:color="auto" w:fill="5B9BD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第二十条第（八）项</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000000" w:sz="8"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信息内容</w:t>
            </w:r>
          </w:p>
        </w:tc>
        <w:tc>
          <w:tcPr>
            <w:tcW w:w="2175" w:type="dxa"/>
            <w:tcBorders>
              <w:top w:val="single" w:color="000000" w:sz="8" w:space="0"/>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上一年项目数量</w:t>
            </w:r>
          </w:p>
        </w:tc>
        <w:tc>
          <w:tcPr>
            <w:tcW w:w="3753" w:type="dxa"/>
            <w:gridSpan w:val="2"/>
            <w:tcBorders>
              <w:top w:val="single" w:color="000000" w:sz="8" w:space="0"/>
              <w:left w:val="nil"/>
              <w:bottom w:val="single" w:color="auto" w:sz="4" w:space="0"/>
              <w:right w:val="single" w:color="000000"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本年增/减</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行政事业性收费</w:t>
            </w:r>
          </w:p>
        </w:tc>
        <w:tc>
          <w:tcPr>
            <w:tcW w:w="2175" w:type="dxa"/>
            <w:tcBorders>
              <w:top w:val="single" w:color="auto" w:sz="4" w:space="0"/>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11</w:t>
            </w:r>
          </w:p>
        </w:tc>
        <w:tc>
          <w:tcPr>
            <w:tcW w:w="3753" w:type="dxa"/>
            <w:gridSpan w:val="2"/>
            <w:tcBorders>
              <w:top w:val="single" w:color="auto" w:sz="4" w:space="0"/>
              <w:left w:val="nil"/>
              <w:bottom w:val="single" w:color="auto" w:sz="4" w:space="0"/>
              <w:right w:val="single" w:color="000000"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CellMar>
            <w:top w:w="0" w:type="dxa"/>
            <w:left w:w="108" w:type="dxa"/>
            <w:bottom w:w="0" w:type="dxa"/>
            <w:right w:w="108" w:type="dxa"/>
          </w:tblCellMar>
        </w:tblPrEx>
        <w:trPr>
          <w:trHeight w:val="454" w:hRule="atLeast"/>
          <w:jc w:val="center"/>
        </w:trPr>
        <w:tc>
          <w:tcPr>
            <w:tcW w:w="9184" w:type="dxa"/>
            <w:gridSpan w:val="5"/>
            <w:tcBorders>
              <w:top w:val="single" w:color="auto" w:sz="4" w:space="0"/>
              <w:left w:val="single" w:color="auto" w:sz="4" w:space="0"/>
              <w:bottom w:val="single" w:color="auto" w:sz="4" w:space="0"/>
              <w:right w:val="single" w:color="auto" w:sz="4" w:space="0"/>
            </w:tcBorders>
            <w:shd w:val="clear" w:color="auto" w:fill="5B9BD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第二十条第（九）项</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信息内容</w:t>
            </w:r>
          </w:p>
        </w:tc>
        <w:tc>
          <w:tcPr>
            <w:tcW w:w="2175" w:type="dxa"/>
            <w:tcBorders>
              <w:top w:val="nil"/>
              <w:left w:val="nil"/>
              <w:bottom w:val="single" w:color="auto" w:sz="4" w:space="0"/>
              <w:right w:val="single" w:color="auto"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采购项目数量</w:t>
            </w:r>
          </w:p>
        </w:tc>
        <w:tc>
          <w:tcPr>
            <w:tcW w:w="3753" w:type="dxa"/>
            <w:gridSpan w:val="2"/>
            <w:tcBorders>
              <w:top w:val="single" w:color="auto" w:sz="4" w:space="0"/>
              <w:left w:val="nil"/>
              <w:bottom w:val="single" w:color="auto" w:sz="4" w:space="0"/>
              <w:right w:val="single" w:color="000000" w:sz="4" w:space="0"/>
            </w:tcBorders>
            <w:shd w:val="clear" w:color="auto" w:fill="BDD6EE"/>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采购总金额（万元，保留四位小数）</w:t>
            </w:r>
          </w:p>
        </w:tc>
      </w:tr>
      <w:tr>
        <w:tblPrEx>
          <w:tblCellMar>
            <w:top w:w="0" w:type="dxa"/>
            <w:left w:w="108" w:type="dxa"/>
            <w:bottom w:w="0" w:type="dxa"/>
            <w:right w:w="108" w:type="dxa"/>
          </w:tblCellMar>
        </w:tblPrEx>
        <w:trPr>
          <w:trHeight w:val="454" w:hRule="atLeast"/>
          <w:jc w:val="center"/>
        </w:trPr>
        <w:tc>
          <w:tcPr>
            <w:tcW w:w="3256" w:type="dxa"/>
            <w:gridSpan w:val="2"/>
            <w:tcBorders>
              <w:top w:val="single" w:color="auto" w:sz="4" w:space="0"/>
              <w:left w:val="single" w:color="auto" w:sz="4" w:space="0"/>
              <w:bottom w:val="single" w:color="auto" w:sz="4" w:space="0"/>
              <w:right w:val="single" w:color="000000" w:sz="4" w:space="0"/>
            </w:tcBorders>
            <w:shd w:val="clear" w:color="auto" w:fill="9CC2E5"/>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政府集中采购</w:t>
            </w:r>
          </w:p>
        </w:tc>
        <w:tc>
          <w:tcPr>
            <w:tcW w:w="2175" w:type="dxa"/>
            <w:tcBorders>
              <w:top w:val="nil"/>
              <w:left w:val="nil"/>
              <w:bottom w:val="single" w:color="auto" w:sz="4" w:space="0"/>
              <w:right w:val="single" w:color="auto" w:sz="4" w:space="0"/>
            </w:tcBorders>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161</w:t>
            </w:r>
          </w:p>
        </w:tc>
        <w:tc>
          <w:tcPr>
            <w:tcW w:w="3753" w:type="dxa"/>
            <w:gridSpan w:val="2"/>
            <w:tcBorders>
              <w:top w:val="single" w:color="auto" w:sz="4" w:space="0"/>
              <w:left w:val="nil"/>
              <w:bottom w:val="single" w:color="auto" w:sz="4" w:space="0"/>
              <w:right w:val="single" w:color="000000" w:sz="4" w:space="0"/>
            </w:tcBorders>
            <w:vAlign w:val="center"/>
          </w:tcPr>
          <w:p>
            <w:pPr>
              <w:widowControl w:val="0"/>
              <w:spacing w:line="240" w:lineRule="auto"/>
              <w:jc w:val="center"/>
              <w:rPr>
                <w:rFonts w:ascii="Calibri" w:hAnsi="Calibri" w:eastAsia="宋体" w:cs="Times New Roman"/>
                <w:sz w:val="21"/>
                <w:szCs w:val="24"/>
              </w:rPr>
            </w:pPr>
            <w:r>
              <w:rPr>
                <w:rFonts w:ascii="Calibri" w:hAnsi="Calibri" w:eastAsia="宋体" w:cs="Times New Roman"/>
                <w:sz w:val="21"/>
                <w:szCs w:val="24"/>
              </w:rPr>
              <w:t>1378.8680</w:t>
            </w:r>
          </w:p>
        </w:tc>
      </w:tr>
    </w:tbl>
    <w:p>
      <w:pPr>
        <w:rPr>
          <w:rFonts w:hAnsi="黑体"/>
          <w:bCs/>
        </w:rPr>
      </w:pPr>
      <w:r>
        <w:rPr>
          <w:rFonts w:hAnsi="黑体"/>
          <w:bCs/>
        </w:rPr>
        <w:br w:type="page"/>
      </w:r>
    </w:p>
    <w:p>
      <w:pPr>
        <w:ind w:firstLine="590" w:firstLineChars="200"/>
        <w:rPr>
          <w:rFonts w:ascii="黑体" w:hAnsi="黑体" w:eastAsia="黑体"/>
          <w:bCs/>
        </w:rPr>
      </w:pPr>
      <w:r>
        <w:rPr>
          <w:rFonts w:hint="eastAsia" w:ascii="黑体" w:hAnsi="黑体" w:eastAsia="黑体"/>
          <w:bCs/>
        </w:rPr>
        <w:t>三、收到和处理政府信息公开申请情况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99"/>
        <w:gridCol w:w="856"/>
        <w:gridCol w:w="2957"/>
        <w:gridCol w:w="709"/>
        <w:gridCol w:w="709"/>
        <w:gridCol w:w="709"/>
        <w:gridCol w:w="708"/>
        <w:gridCol w:w="709"/>
        <w:gridCol w:w="567"/>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jc w:val="center"/>
        </w:trPr>
        <w:tc>
          <w:tcPr>
            <w:tcW w:w="4212" w:type="dxa"/>
            <w:gridSpan w:val="3"/>
            <w:vMerge w:val="restart"/>
            <w:shd w:val="clear" w:color="auto" w:fill="5B9BD5"/>
            <w:tcMar>
              <w:top w:w="0" w:type="dxa"/>
              <w:left w:w="108" w:type="dxa"/>
              <w:bottom w:w="0" w:type="dxa"/>
              <w:right w:w="108" w:type="dxa"/>
            </w:tcMar>
            <w:vAlign w:val="center"/>
          </w:tcPr>
          <w:p>
            <w:pPr>
              <w:widowControl w:val="0"/>
              <w:spacing w:line="280" w:lineRule="exact"/>
              <w:rPr>
                <w:rFonts w:ascii="Calibri" w:hAnsi="Calibri" w:eastAsia="宋体" w:cs="Times New Roman"/>
                <w:sz w:val="21"/>
                <w:szCs w:val="24"/>
              </w:rPr>
            </w:pPr>
            <w:r>
              <w:rPr>
                <w:rFonts w:hint="eastAsia" w:ascii="Calibri" w:hAnsi="Calibri" w:eastAsia="宋体" w:cs="Times New Roman"/>
                <w:sz w:val="21"/>
                <w:szCs w:val="24"/>
              </w:rPr>
              <w:t>（本列数据的勾稽关系为：第一项加第二项之和，等于第三项加第四项之和）</w:t>
            </w:r>
          </w:p>
        </w:tc>
        <w:tc>
          <w:tcPr>
            <w:tcW w:w="4820" w:type="dxa"/>
            <w:gridSpan w:val="7"/>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申请人情况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4" w:hRule="atLeast"/>
          <w:jc w:val="center"/>
        </w:trPr>
        <w:tc>
          <w:tcPr>
            <w:tcW w:w="4212" w:type="dxa"/>
            <w:gridSpan w:val="3"/>
            <w:vMerge w:val="continue"/>
            <w:shd w:val="clear" w:color="auto" w:fill="5B9BD5"/>
            <w:tcMar>
              <w:top w:w="0" w:type="dxa"/>
              <w:left w:w="108" w:type="dxa"/>
              <w:bottom w:w="0" w:type="dxa"/>
              <w:right w:w="108" w:type="dxa"/>
            </w:tcMar>
            <w:vAlign w:val="center"/>
          </w:tcPr>
          <w:p>
            <w:pPr>
              <w:widowControl w:val="0"/>
              <w:spacing w:line="280" w:lineRule="exact"/>
              <w:rPr>
                <w:rFonts w:ascii="Calibri" w:hAnsi="Calibri" w:eastAsia="宋体" w:cs="Times New Roman"/>
                <w:sz w:val="21"/>
                <w:szCs w:val="24"/>
              </w:rPr>
            </w:pPr>
          </w:p>
        </w:tc>
        <w:tc>
          <w:tcPr>
            <w:tcW w:w="709" w:type="dxa"/>
            <w:vMerge w:val="restart"/>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自然人</w:t>
            </w:r>
          </w:p>
        </w:tc>
        <w:tc>
          <w:tcPr>
            <w:tcW w:w="3402" w:type="dxa"/>
            <w:gridSpan w:val="5"/>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法人或其他组织</w:t>
            </w:r>
          </w:p>
        </w:tc>
        <w:tc>
          <w:tcPr>
            <w:tcW w:w="709" w:type="dxa"/>
            <w:vMerge w:val="restart"/>
            <w:shd w:val="clear" w:color="auto" w:fill="5B9BD5"/>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4212" w:type="dxa"/>
            <w:gridSpan w:val="3"/>
            <w:vMerge w:val="continue"/>
            <w:shd w:val="clear" w:color="auto" w:fill="auto"/>
            <w:tcMar>
              <w:top w:w="0" w:type="dxa"/>
              <w:left w:w="108" w:type="dxa"/>
              <w:bottom w:w="0" w:type="dxa"/>
              <w:right w:w="108" w:type="dxa"/>
            </w:tcMar>
            <w:vAlign w:val="center"/>
          </w:tcPr>
          <w:p>
            <w:pPr>
              <w:widowControl w:val="0"/>
              <w:spacing w:line="280" w:lineRule="exact"/>
              <w:rPr>
                <w:rFonts w:ascii="Calibri" w:hAnsi="Calibri" w:eastAsia="宋体" w:cs="Times New Roman"/>
                <w:sz w:val="21"/>
                <w:szCs w:val="24"/>
              </w:rPr>
            </w:pPr>
          </w:p>
        </w:tc>
        <w:tc>
          <w:tcPr>
            <w:tcW w:w="709" w:type="dxa"/>
            <w:vMerge w:val="continue"/>
            <w:shd w:val="clear" w:color="auto" w:fill="auto"/>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p>
        </w:tc>
        <w:tc>
          <w:tcPr>
            <w:tcW w:w="709" w:type="dxa"/>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商业企业</w:t>
            </w:r>
          </w:p>
        </w:tc>
        <w:tc>
          <w:tcPr>
            <w:tcW w:w="709" w:type="dxa"/>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科研机构</w:t>
            </w:r>
          </w:p>
        </w:tc>
        <w:tc>
          <w:tcPr>
            <w:tcW w:w="708" w:type="dxa"/>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社会公益组织</w:t>
            </w:r>
          </w:p>
        </w:tc>
        <w:tc>
          <w:tcPr>
            <w:tcW w:w="709" w:type="dxa"/>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法律服务机构</w:t>
            </w:r>
          </w:p>
        </w:tc>
        <w:tc>
          <w:tcPr>
            <w:tcW w:w="567" w:type="dxa"/>
            <w:shd w:val="clear" w:color="auto" w:fill="5B9BD5"/>
            <w:tcMar>
              <w:top w:w="0" w:type="dxa"/>
              <w:left w:w="108" w:type="dxa"/>
              <w:bottom w:w="0" w:type="dxa"/>
              <w:right w:w="108" w:type="dxa"/>
            </w:tcMar>
            <w:vAlign w:val="center"/>
          </w:tcPr>
          <w:p>
            <w:pPr>
              <w:widowControl w:val="0"/>
              <w:spacing w:line="280" w:lineRule="exact"/>
              <w:jc w:val="center"/>
              <w:rPr>
                <w:rFonts w:ascii="Calibri" w:hAnsi="Calibri" w:eastAsia="宋体" w:cs="Times New Roman"/>
                <w:sz w:val="21"/>
                <w:szCs w:val="24"/>
              </w:rPr>
            </w:pPr>
            <w:r>
              <w:rPr>
                <w:rFonts w:hint="eastAsia" w:ascii="Calibri" w:hAnsi="Calibri" w:eastAsia="宋体" w:cs="Times New Roman"/>
                <w:sz w:val="21"/>
                <w:szCs w:val="24"/>
              </w:rPr>
              <w:t>其他</w:t>
            </w:r>
          </w:p>
        </w:tc>
        <w:tc>
          <w:tcPr>
            <w:tcW w:w="709" w:type="dxa"/>
            <w:vMerge w:val="continue"/>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4212" w:type="dxa"/>
            <w:gridSpan w:val="3"/>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r>
              <w:rPr>
                <w:rFonts w:hint="eastAsia" w:ascii="Calibri" w:hAnsi="Calibri" w:eastAsia="宋体" w:cs="Times New Roman"/>
                <w:sz w:val="21"/>
                <w:szCs w:val="24"/>
              </w:rPr>
              <w:t>一、本年新收政府信息公开申请数量</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ascii="Calibri" w:hAnsi="Calibri" w:eastAsia="宋体" w:cs="Times New Roman"/>
                <w:sz w:val="21"/>
                <w:szCs w:val="24"/>
              </w:rPr>
              <w:t>3</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ascii="Calibri" w:hAnsi="Calibri" w:eastAsia="宋体" w:cs="Times New Roman"/>
                <w:sz w:val="21"/>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4212" w:type="dxa"/>
            <w:gridSpan w:val="3"/>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r>
              <w:rPr>
                <w:rFonts w:hint="eastAsia" w:ascii="Calibri" w:hAnsi="Calibri" w:eastAsia="宋体" w:cs="Times New Roman"/>
                <w:sz w:val="21"/>
                <w:szCs w:val="24"/>
              </w:rPr>
              <w:t>二、上年结转政府信息公开申请数量</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restart"/>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r>
              <w:rPr>
                <w:rFonts w:hint="eastAsia" w:ascii="Calibri" w:hAnsi="Calibri" w:eastAsia="宋体" w:cs="Times New Roman"/>
                <w:sz w:val="21"/>
                <w:szCs w:val="24"/>
              </w:rPr>
              <w:t>三、本年度办理结果</w:t>
            </w:r>
          </w:p>
        </w:tc>
        <w:tc>
          <w:tcPr>
            <w:tcW w:w="3813" w:type="dxa"/>
            <w:gridSpan w:val="2"/>
            <w:shd w:val="clear" w:color="auto" w:fill="BDD6EE"/>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（一）予以公开</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3813" w:type="dxa"/>
            <w:gridSpan w:val="2"/>
            <w:shd w:val="clear" w:color="auto" w:fill="BDD6EE"/>
            <w:tcMar>
              <w:top w:w="0" w:type="dxa"/>
              <w:left w:w="108" w:type="dxa"/>
              <w:bottom w:w="0" w:type="dxa"/>
              <w:right w:w="108" w:type="dxa"/>
            </w:tcMar>
            <w:vAlign w:val="center"/>
          </w:tcPr>
          <w:p>
            <w:pPr>
              <w:widowControl w:val="0"/>
              <w:spacing w:line="320" w:lineRule="exact"/>
              <w:rPr>
                <w:rFonts w:ascii="楷体_GB2312" w:hAnsi="Calibri" w:eastAsia="楷体_GB2312" w:cs="Times New Roman"/>
                <w:sz w:val="21"/>
                <w:szCs w:val="24"/>
              </w:rPr>
            </w:pPr>
            <w:r>
              <w:rPr>
                <w:rFonts w:hint="eastAsia" w:ascii="楷体_GB2312" w:hAnsi="Calibri" w:eastAsia="楷体_GB2312" w:cs="Times New Roman"/>
                <w:sz w:val="21"/>
                <w:szCs w:val="24"/>
              </w:rPr>
              <w:t>（二）部分公开（区分处理的，只计这一情形，不计其他情形）</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restart"/>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r>
              <w:rPr>
                <w:rFonts w:hint="eastAsia" w:ascii="楷体_GB2312" w:hAnsi="Calibri" w:eastAsia="楷体_GB2312" w:cs="Times New Roman"/>
                <w:sz w:val="21"/>
                <w:szCs w:val="24"/>
              </w:rPr>
              <w:t>（三）不予</w:t>
            </w:r>
          </w:p>
          <w:p>
            <w:pPr>
              <w:widowControl w:val="0"/>
              <w:spacing w:line="240" w:lineRule="auto"/>
              <w:jc w:val="center"/>
              <w:rPr>
                <w:rFonts w:ascii="楷体_GB2312" w:hAnsi="Calibri" w:eastAsia="楷体_GB2312" w:cs="Times New Roman"/>
                <w:sz w:val="21"/>
                <w:szCs w:val="24"/>
              </w:rPr>
            </w:pPr>
            <w:r>
              <w:rPr>
                <w:rFonts w:hint="eastAsia" w:ascii="楷体_GB2312" w:hAnsi="Calibri" w:eastAsia="楷体_GB2312" w:cs="Times New Roman"/>
                <w:sz w:val="21"/>
                <w:szCs w:val="24"/>
              </w:rPr>
              <w:t>公开</w:t>
            </w: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1.属于国家秘密</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2.其他法律行政法规禁止公开</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3.危及“三安全一稳定”</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4.保护第三方合法权益</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5.属于三类内部事务信息</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6.属于四类过程性信息</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7.属于行政执法案卷</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8.属于行政查询事项</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restart"/>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r>
              <w:rPr>
                <w:rFonts w:hint="eastAsia" w:ascii="楷体_GB2312" w:hAnsi="Calibri" w:eastAsia="楷体_GB2312" w:cs="Times New Roman"/>
                <w:sz w:val="21"/>
                <w:szCs w:val="24"/>
              </w:rPr>
              <w:t>（四）无法</w:t>
            </w:r>
          </w:p>
          <w:p>
            <w:pPr>
              <w:widowControl w:val="0"/>
              <w:spacing w:line="240" w:lineRule="auto"/>
              <w:jc w:val="center"/>
              <w:rPr>
                <w:rFonts w:ascii="楷体_GB2312" w:hAnsi="Calibri" w:eastAsia="楷体_GB2312" w:cs="Times New Roman"/>
                <w:sz w:val="21"/>
                <w:szCs w:val="24"/>
              </w:rPr>
            </w:pPr>
            <w:r>
              <w:rPr>
                <w:rFonts w:hint="eastAsia" w:ascii="楷体_GB2312" w:hAnsi="Calibri" w:eastAsia="楷体_GB2312" w:cs="Times New Roman"/>
                <w:sz w:val="21"/>
                <w:szCs w:val="24"/>
              </w:rPr>
              <w:t>提供</w:t>
            </w: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1.本机关不掌握相关政府信息</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2</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2.没有现成信息需要另行制作</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3.补正后申请内容仍不明确</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restart"/>
            <w:shd w:val="clear" w:color="auto" w:fill="BDD6EE"/>
            <w:tcMar>
              <w:top w:w="0" w:type="dxa"/>
              <w:left w:w="108" w:type="dxa"/>
              <w:bottom w:w="0" w:type="dxa"/>
              <w:right w:w="108" w:type="dxa"/>
            </w:tcMar>
            <w:vAlign w:val="center"/>
          </w:tcPr>
          <w:p>
            <w:pPr>
              <w:widowControl w:val="0"/>
              <w:spacing w:line="240" w:lineRule="auto"/>
              <w:jc w:val="center"/>
              <w:rPr>
                <w:rFonts w:ascii="楷体_GB2312" w:hAnsi="Calibri" w:eastAsia="楷体_GB2312" w:cs="Times New Roman"/>
                <w:sz w:val="21"/>
                <w:szCs w:val="24"/>
              </w:rPr>
            </w:pPr>
            <w:r>
              <w:rPr>
                <w:rFonts w:hint="eastAsia" w:ascii="楷体_GB2312" w:hAnsi="Calibri" w:eastAsia="楷体_GB2312" w:cs="Times New Roman"/>
                <w:sz w:val="21"/>
                <w:szCs w:val="24"/>
              </w:rPr>
              <w:t>（五）不予</w:t>
            </w:r>
          </w:p>
          <w:p>
            <w:pPr>
              <w:widowControl w:val="0"/>
              <w:spacing w:line="240" w:lineRule="auto"/>
              <w:jc w:val="center"/>
              <w:rPr>
                <w:rFonts w:ascii="楷体_GB2312" w:hAnsi="Calibri" w:eastAsia="楷体_GB2312" w:cs="Times New Roman"/>
                <w:sz w:val="21"/>
                <w:szCs w:val="24"/>
              </w:rPr>
            </w:pPr>
            <w:r>
              <w:rPr>
                <w:rFonts w:hint="eastAsia" w:ascii="楷体_GB2312" w:hAnsi="Calibri" w:eastAsia="楷体_GB2312" w:cs="Times New Roman"/>
                <w:sz w:val="21"/>
                <w:szCs w:val="24"/>
              </w:rPr>
              <w:t>处理</w:t>
            </w: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1.信访举报投诉类申请</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2.重复申请</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3.要求提供公开出版物</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4.无正当理由大量反复申请</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856" w:type="dxa"/>
            <w:vMerge w:val="continue"/>
            <w:shd w:val="clear" w:color="auto" w:fill="BDD6EE"/>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p>
        </w:tc>
        <w:tc>
          <w:tcPr>
            <w:tcW w:w="2957" w:type="dxa"/>
            <w:shd w:val="clear" w:color="auto" w:fill="DEEAF6"/>
            <w:tcMar>
              <w:top w:w="0" w:type="dxa"/>
              <w:left w:w="108" w:type="dxa"/>
              <w:bottom w:w="0" w:type="dxa"/>
              <w:right w:w="108" w:type="dxa"/>
            </w:tcMar>
            <w:vAlign w:val="center"/>
          </w:tcPr>
          <w:p>
            <w:pPr>
              <w:widowControl w:val="0"/>
              <w:spacing w:line="320" w:lineRule="exact"/>
              <w:rPr>
                <w:rFonts w:ascii="楷体_GB2312" w:hAnsi="Calibri" w:eastAsia="楷体_GB2312" w:cs="Times New Roman"/>
                <w:sz w:val="21"/>
                <w:szCs w:val="24"/>
              </w:rPr>
            </w:pPr>
            <w:r>
              <w:rPr>
                <w:rFonts w:hint="eastAsia" w:ascii="楷体_GB2312" w:hAnsi="Calibri" w:eastAsia="楷体_GB2312" w:cs="Times New Roman"/>
                <w:sz w:val="21"/>
                <w:szCs w:val="24"/>
              </w:rPr>
              <w:t>5.要求行政机关确认或重新出具已获取信息</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3813" w:type="dxa"/>
            <w:gridSpan w:val="2"/>
            <w:shd w:val="clear" w:color="auto" w:fill="BDD6EE"/>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（六）其他处理</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399" w:type="dxa"/>
            <w:vMerge w:val="continue"/>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p>
        </w:tc>
        <w:tc>
          <w:tcPr>
            <w:tcW w:w="3813" w:type="dxa"/>
            <w:gridSpan w:val="2"/>
            <w:shd w:val="clear" w:color="auto" w:fill="BDD6EE"/>
            <w:tcMar>
              <w:top w:w="0" w:type="dxa"/>
              <w:left w:w="108" w:type="dxa"/>
              <w:bottom w:w="0" w:type="dxa"/>
              <w:right w:w="108" w:type="dxa"/>
            </w:tcMar>
            <w:vAlign w:val="center"/>
          </w:tcPr>
          <w:p>
            <w:pPr>
              <w:widowControl w:val="0"/>
              <w:spacing w:line="240" w:lineRule="auto"/>
              <w:rPr>
                <w:rFonts w:ascii="楷体_GB2312" w:hAnsi="Calibri" w:eastAsia="楷体_GB2312" w:cs="Times New Roman"/>
                <w:sz w:val="21"/>
                <w:szCs w:val="24"/>
              </w:rPr>
            </w:pPr>
            <w:r>
              <w:rPr>
                <w:rFonts w:hint="eastAsia" w:ascii="楷体_GB2312" w:hAnsi="Calibri" w:eastAsia="楷体_GB2312" w:cs="Times New Roman"/>
                <w:sz w:val="21"/>
                <w:szCs w:val="24"/>
              </w:rPr>
              <w:t>（七）总计</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4</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4212" w:type="dxa"/>
            <w:gridSpan w:val="3"/>
            <w:shd w:val="clear" w:color="auto" w:fill="9CC2E5"/>
            <w:tcMar>
              <w:top w:w="0" w:type="dxa"/>
              <w:left w:w="108" w:type="dxa"/>
              <w:bottom w:w="0" w:type="dxa"/>
              <w:right w:w="108" w:type="dxa"/>
            </w:tcMar>
            <w:vAlign w:val="center"/>
          </w:tcPr>
          <w:p>
            <w:pPr>
              <w:widowControl w:val="0"/>
              <w:spacing w:line="240" w:lineRule="auto"/>
              <w:rPr>
                <w:rFonts w:ascii="Calibri" w:hAnsi="Calibri" w:eastAsia="宋体" w:cs="Times New Roman"/>
                <w:sz w:val="21"/>
                <w:szCs w:val="24"/>
              </w:rPr>
            </w:pPr>
            <w:r>
              <w:rPr>
                <w:rFonts w:hint="eastAsia" w:ascii="Calibri" w:hAnsi="Calibri" w:eastAsia="宋体" w:cs="Times New Roman"/>
                <w:sz w:val="21"/>
                <w:szCs w:val="24"/>
              </w:rPr>
              <w:t>四、结转下年度继续办理</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67"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09"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bl>
    <w:p>
      <w:pPr>
        <w:spacing w:line="240" w:lineRule="auto"/>
        <w:rPr>
          <w:bCs/>
        </w:rPr>
      </w:pPr>
      <w:r>
        <w:rPr>
          <w:bCs/>
        </w:rPr>
        <w:br w:type="page"/>
      </w:r>
    </w:p>
    <w:p>
      <w:pPr>
        <w:ind w:firstLine="590" w:firstLineChars="200"/>
        <w:rPr>
          <w:rFonts w:ascii="黑体" w:hAnsi="黑体" w:eastAsia="黑体"/>
          <w:bCs/>
        </w:rPr>
      </w:pPr>
      <w:r>
        <w:rPr>
          <w:rFonts w:hint="eastAsia" w:ascii="黑体" w:hAnsi="黑体" w:eastAsia="黑体"/>
          <w:bCs/>
        </w:rPr>
        <w:t>四、政府信息公开行政复议、行政诉讼情况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68"/>
        <w:gridCol w:w="541"/>
        <w:gridCol w:w="604"/>
        <w:gridCol w:w="604"/>
        <w:gridCol w:w="663"/>
        <w:gridCol w:w="710"/>
        <w:gridCol w:w="605"/>
        <w:gridCol w:w="605"/>
        <w:gridCol w:w="605"/>
        <w:gridCol w:w="605"/>
        <w:gridCol w:w="8"/>
        <w:gridCol w:w="597"/>
        <w:gridCol w:w="605"/>
        <w:gridCol w:w="605"/>
        <w:gridCol w:w="606"/>
        <w:gridCol w:w="606"/>
        <w:gridCol w:w="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5" w:hRule="atLeast"/>
          <w:jc w:val="center"/>
        </w:trPr>
        <w:tc>
          <w:tcPr>
            <w:tcW w:w="2880" w:type="dxa"/>
            <w:gridSpan w:val="5"/>
            <w:tcBorders>
              <w:bottom w:val="single" w:color="auto" w:sz="4" w:space="0"/>
            </w:tcBorders>
            <w:shd w:val="clear" w:color="auto" w:fill="5B9BD5"/>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行政复议</w:t>
            </w:r>
          </w:p>
        </w:tc>
        <w:tc>
          <w:tcPr>
            <w:tcW w:w="6165" w:type="dxa"/>
            <w:gridSpan w:val="12"/>
            <w:tcBorders>
              <w:bottom w:val="single" w:color="auto" w:sz="4" w:space="0"/>
            </w:tcBorders>
            <w:shd w:val="clear" w:color="auto" w:fill="5B9BD5"/>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5" w:hRule="atLeast"/>
          <w:jc w:val="center"/>
        </w:trPr>
        <w:tc>
          <w:tcPr>
            <w:tcW w:w="468" w:type="dxa"/>
            <w:vMerge w:val="restart"/>
            <w:tcBorders>
              <w:top w:val="single" w:color="auto" w:sz="4" w:space="0"/>
            </w:tcBorders>
            <w:shd w:val="clear" w:color="auto" w:fill="auto"/>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结</w:t>
            </w:r>
          </w:p>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果</w:t>
            </w:r>
          </w:p>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维</w:t>
            </w:r>
          </w:p>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持</w:t>
            </w:r>
          </w:p>
        </w:tc>
        <w:tc>
          <w:tcPr>
            <w:tcW w:w="541" w:type="dxa"/>
            <w:vMerge w:val="restart"/>
            <w:tcBorders>
              <w:top w:val="single" w:color="auto" w:sz="4" w:space="0"/>
            </w:tcBorders>
            <w:shd w:val="clear" w:color="auto" w:fill="auto"/>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结果纠正</w:t>
            </w:r>
          </w:p>
        </w:tc>
        <w:tc>
          <w:tcPr>
            <w:tcW w:w="604" w:type="dxa"/>
            <w:vMerge w:val="restart"/>
            <w:tcBorders>
              <w:top w:val="single" w:color="auto" w:sz="4" w:space="0"/>
            </w:tcBorders>
            <w:shd w:val="clear" w:color="auto" w:fill="auto"/>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其他结果</w:t>
            </w:r>
          </w:p>
        </w:tc>
        <w:tc>
          <w:tcPr>
            <w:tcW w:w="604" w:type="dxa"/>
            <w:vMerge w:val="restart"/>
            <w:tcBorders>
              <w:top w:val="single" w:color="auto" w:sz="4" w:space="0"/>
            </w:tcBorders>
            <w:shd w:val="clear" w:color="auto" w:fill="auto"/>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尚未审结</w:t>
            </w:r>
          </w:p>
        </w:tc>
        <w:tc>
          <w:tcPr>
            <w:tcW w:w="663" w:type="dxa"/>
            <w:vMerge w:val="restart"/>
            <w:tcBorders>
              <w:top w:val="single" w:color="auto" w:sz="4" w:space="0"/>
            </w:tcBorders>
            <w:shd w:val="clear" w:color="auto" w:fill="auto"/>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总 计</w:t>
            </w:r>
          </w:p>
        </w:tc>
        <w:tc>
          <w:tcPr>
            <w:tcW w:w="3138" w:type="dxa"/>
            <w:gridSpan w:val="6"/>
            <w:tcBorders>
              <w:top w:val="single" w:color="auto" w:sz="4" w:space="0"/>
            </w:tcBorders>
            <w:shd w:val="clear" w:color="auto" w:fill="9CC2E5"/>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未经复议直接起诉</w:t>
            </w:r>
          </w:p>
        </w:tc>
        <w:tc>
          <w:tcPr>
            <w:tcW w:w="3027" w:type="dxa"/>
            <w:gridSpan w:val="6"/>
            <w:tcBorders>
              <w:top w:val="single" w:color="auto" w:sz="4" w:space="0"/>
            </w:tcBorders>
            <w:shd w:val="clear" w:color="auto" w:fill="9CC2E5"/>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After w:val="1"/>
          <w:wAfter w:w="8" w:type="dxa"/>
          <w:jc w:val="center"/>
        </w:trPr>
        <w:tc>
          <w:tcPr>
            <w:tcW w:w="468" w:type="dxa"/>
            <w:vMerge w:val="continue"/>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p>
        </w:tc>
        <w:tc>
          <w:tcPr>
            <w:tcW w:w="541" w:type="dxa"/>
            <w:vMerge w:val="continue"/>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p>
        </w:tc>
        <w:tc>
          <w:tcPr>
            <w:tcW w:w="604" w:type="dxa"/>
            <w:vMerge w:val="continue"/>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p>
        </w:tc>
        <w:tc>
          <w:tcPr>
            <w:tcW w:w="604" w:type="dxa"/>
            <w:vMerge w:val="continue"/>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p>
        </w:tc>
        <w:tc>
          <w:tcPr>
            <w:tcW w:w="663" w:type="dxa"/>
            <w:vMerge w:val="continue"/>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p>
        </w:tc>
        <w:tc>
          <w:tcPr>
            <w:tcW w:w="710"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结果维持</w:t>
            </w:r>
          </w:p>
        </w:tc>
        <w:tc>
          <w:tcPr>
            <w:tcW w:w="605"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结果纠正</w:t>
            </w:r>
          </w:p>
        </w:tc>
        <w:tc>
          <w:tcPr>
            <w:tcW w:w="605"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其他结果</w:t>
            </w:r>
          </w:p>
        </w:tc>
        <w:tc>
          <w:tcPr>
            <w:tcW w:w="605"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尚未审结</w:t>
            </w:r>
          </w:p>
        </w:tc>
        <w:tc>
          <w:tcPr>
            <w:tcW w:w="605"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总计</w:t>
            </w:r>
          </w:p>
        </w:tc>
        <w:tc>
          <w:tcPr>
            <w:tcW w:w="605" w:type="dxa"/>
            <w:gridSpan w:val="2"/>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结果维持</w:t>
            </w:r>
          </w:p>
        </w:tc>
        <w:tc>
          <w:tcPr>
            <w:tcW w:w="605"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结果纠正</w:t>
            </w:r>
          </w:p>
        </w:tc>
        <w:tc>
          <w:tcPr>
            <w:tcW w:w="605"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其他结果</w:t>
            </w:r>
          </w:p>
        </w:tc>
        <w:tc>
          <w:tcPr>
            <w:tcW w:w="606"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尚未审结</w:t>
            </w:r>
          </w:p>
        </w:tc>
        <w:tc>
          <w:tcPr>
            <w:tcW w:w="606" w:type="dxa"/>
            <w:tcMar>
              <w:top w:w="0" w:type="dxa"/>
              <w:left w:w="108" w:type="dxa"/>
              <w:bottom w:w="0" w:type="dxa"/>
              <w:right w:w="108" w:type="dxa"/>
            </w:tcMar>
            <w:vAlign w:val="center"/>
          </w:tcPr>
          <w:p>
            <w:pPr>
              <w:widowControl w:val="0"/>
              <w:spacing w:line="360" w:lineRule="exact"/>
              <w:jc w:val="center"/>
              <w:rPr>
                <w:rFonts w:ascii="Calibri" w:hAnsi="Calibri" w:eastAsia="宋体" w:cs="Times New Roman"/>
                <w:sz w:val="21"/>
                <w:szCs w:val="24"/>
              </w:rPr>
            </w:pPr>
            <w:r>
              <w:rPr>
                <w:rFonts w:hint="eastAsia" w:ascii="Calibri" w:hAnsi="Calibri" w:eastAsia="宋体" w:cs="Times New Roman"/>
                <w:sz w:val="21"/>
                <w:szCs w:val="24"/>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After w:val="1"/>
          <w:wAfter w:w="8" w:type="dxa"/>
          <w:trHeight w:val="584" w:hRule="atLeast"/>
          <w:jc w:val="center"/>
        </w:trPr>
        <w:tc>
          <w:tcPr>
            <w:tcW w:w="468"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541"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4"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4"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63"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710"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5"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5"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5"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5"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5" w:type="dxa"/>
            <w:gridSpan w:val="2"/>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5"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5"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6"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c>
          <w:tcPr>
            <w:tcW w:w="606" w:type="dxa"/>
            <w:tcMar>
              <w:top w:w="0" w:type="dxa"/>
              <w:left w:w="108" w:type="dxa"/>
              <w:bottom w:w="0" w:type="dxa"/>
              <w:right w:w="108" w:type="dxa"/>
            </w:tcMar>
            <w:vAlign w:val="center"/>
          </w:tcPr>
          <w:p>
            <w:pPr>
              <w:widowControl w:val="0"/>
              <w:spacing w:line="240" w:lineRule="auto"/>
              <w:jc w:val="center"/>
              <w:rPr>
                <w:rFonts w:ascii="Calibri" w:hAnsi="Calibri" w:eastAsia="宋体" w:cs="Times New Roman"/>
                <w:sz w:val="21"/>
                <w:szCs w:val="24"/>
              </w:rPr>
            </w:pPr>
            <w:r>
              <w:rPr>
                <w:rFonts w:hint="eastAsia" w:ascii="Calibri" w:hAnsi="Calibri" w:eastAsia="宋体" w:cs="Times New Roman"/>
                <w:sz w:val="21"/>
                <w:szCs w:val="24"/>
              </w:rPr>
              <w:t>0</w:t>
            </w:r>
          </w:p>
        </w:tc>
      </w:tr>
    </w:tbl>
    <w:p/>
    <w:p>
      <w:pPr>
        <w:spacing w:line="520" w:lineRule="exact"/>
        <w:ind w:firstLine="590" w:firstLineChars="200"/>
        <w:rPr>
          <w:rFonts w:ascii="黑体" w:hAnsi="黑体" w:eastAsia="黑体"/>
          <w:bCs/>
        </w:rPr>
      </w:pPr>
      <w:r>
        <w:rPr>
          <w:rFonts w:hint="eastAsia" w:ascii="黑体" w:hAnsi="黑体" w:eastAsia="黑体"/>
          <w:bCs/>
        </w:rPr>
        <w:t>五、</w:t>
      </w:r>
      <w:r>
        <w:rPr>
          <w:rFonts w:hint="eastAsia" w:ascii="黑体" w:hAnsi="黑体" w:eastAsia="黑体" w:cs="黑体"/>
          <w:szCs w:val="32"/>
        </w:rPr>
        <w:t>存在的主要问题及改进情况</w:t>
      </w:r>
    </w:p>
    <w:p>
      <w:pPr>
        <w:spacing w:line="520" w:lineRule="exact"/>
        <w:ind w:firstLine="590" w:firstLineChars="200"/>
        <w:rPr>
          <w:rFonts w:hAnsi="宋体-18030"/>
          <w:szCs w:val="32"/>
        </w:rPr>
      </w:pPr>
      <w:r>
        <w:rPr>
          <w:rFonts w:hint="eastAsia"/>
          <w:szCs w:val="32"/>
        </w:rPr>
        <w:t>1.</w:t>
      </w:r>
      <w:r>
        <w:rPr>
          <w:rFonts w:hint="eastAsia" w:hAnsi="宋体-18030"/>
          <w:szCs w:val="32"/>
        </w:rPr>
        <w:t>需进一步提高体育信息公开的针对性。广大市民对体育信息的需求日益增长，且信息化、智能化要求较高。以需求为导向，持续</w:t>
      </w:r>
      <w:r>
        <w:rPr>
          <w:rFonts w:hint="eastAsia"/>
          <w:szCs w:val="32"/>
        </w:rPr>
        <w:t>推进体育公共服务领域信息公开，</w:t>
      </w:r>
      <w:r>
        <w:rPr>
          <w:rFonts w:hint="eastAsia" w:hAnsi="宋体-18030"/>
          <w:szCs w:val="32"/>
        </w:rPr>
        <w:t>不断满足群众多样化健身需求，</w:t>
      </w:r>
      <w:r>
        <w:rPr>
          <w:rFonts w:hint="eastAsia"/>
          <w:szCs w:val="32"/>
        </w:rPr>
        <w:t>拓宽新媒体平台应用场景，</w:t>
      </w:r>
      <w:r>
        <w:rPr>
          <w:rFonts w:hint="eastAsia" w:hAnsi="宋体-18030"/>
          <w:szCs w:val="32"/>
        </w:rPr>
        <w:t>有针对性地推送体育信息产品和服务。</w:t>
      </w:r>
    </w:p>
    <w:p>
      <w:pPr>
        <w:spacing w:line="520" w:lineRule="exact"/>
        <w:ind w:firstLine="590" w:firstLineChars="200"/>
        <w:rPr>
          <w:rFonts w:hAnsi="宋体-18030"/>
          <w:szCs w:val="32"/>
        </w:rPr>
      </w:pPr>
      <w:r>
        <w:rPr>
          <w:rFonts w:hint="eastAsia"/>
          <w:szCs w:val="32"/>
        </w:rPr>
        <w:t>2.</w:t>
      </w:r>
      <w:r>
        <w:rPr>
          <w:rFonts w:hint="eastAsia" w:hAnsi="宋体-18030"/>
          <w:szCs w:val="32"/>
        </w:rPr>
        <w:t>需进一步提升政策解读效果、丰富解读形式。积极回应公众关切，增</w:t>
      </w:r>
      <w:r>
        <w:rPr>
          <w:rFonts w:hAnsi="宋体-18030"/>
          <w:szCs w:val="32"/>
        </w:rPr>
        <w:t>强</w:t>
      </w:r>
      <w:r>
        <w:rPr>
          <w:rFonts w:hint="eastAsia" w:hAnsi="宋体-18030"/>
          <w:szCs w:val="32"/>
        </w:rPr>
        <w:t>体育政策传播的广泛性，</w:t>
      </w:r>
      <w:r>
        <w:rPr>
          <w:rFonts w:hint="eastAsia" w:hAnsi="Times New Roman" w:cs="Times New Roman"/>
          <w:szCs w:val="32"/>
        </w:rPr>
        <w:t>创新方式方法，</w:t>
      </w:r>
      <w:r>
        <w:rPr>
          <w:rFonts w:hint="eastAsia"/>
        </w:rPr>
        <w:t>拓宽公开渠道、丰富公开形式、</w:t>
      </w:r>
      <w:r>
        <w:rPr>
          <w:rFonts w:hint="eastAsia" w:hAnsi="宋体-18030"/>
          <w:szCs w:val="32"/>
        </w:rPr>
        <w:t>加强解疑释惑</w:t>
      </w:r>
      <w:r>
        <w:rPr>
          <w:rFonts w:hint="eastAsia"/>
        </w:rPr>
        <w:t>，提升体育</w:t>
      </w:r>
      <w:r>
        <w:rPr>
          <w:rFonts w:hint="eastAsia" w:hAnsi="宋体-18030"/>
          <w:szCs w:val="32"/>
        </w:rPr>
        <w:t>惠民便民政策措施知晓度，提高政策解读实用度，确保企业群众看得懂、好理解、用得好。</w:t>
      </w:r>
    </w:p>
    <w:p>
      <w:pPr>
        <w:spacing w:line="520" w:lineRule="exact"/>
        <w:ind w:firstLine="590" w:firstLineChars="200"/>
        <w:rPr>
          <w:rFonts w:ascii="黑体" w:hAnsi="黑体" w:eastAsia="黑体"/>
          <w:bCs/>
        </w:rPr>
      </w:pPr>
      <w:r>
        <w:rPr>
          <w:rFonts w:hint="eastAsia" w:ascii="黑体" w:hAnsi="黑体" w:eastAsia="黑体"/>
          <w:bCs/>
        </w:rPr>
        <w:t>六、其他需要报告的事项</w:t>
      </w:r>
    </w:p>
    <w:p>
      <w:pPr>
        <w:spacing w:line="520" w:lineRule="exact"/>
        <w:ind w:firstLine="590" w:firstLineChars="200"/>
      </w:pPr>
      <w:r>
        <w:rPr>
          <w:rFonts w:hint="eastAsia"/>
        </w:rPr>
        <w:t>北京市</w:t>
      </w:r>
      <w:r>
        <w:t>体育局网站</w:t>
      </w:r>
      <w:r>
        <w:rPr>
          <w:rFonts w:hint="eastAsia"/>
        </w:rPr>
        <w:t>地</w:t>
      </w:r>
      <w:r>
        <w:t>址</w:t>
      </w:r>
      <w:r>
        <w:rPr>
          <w:rFonts w:hint="eastAsia"/>
        </w:rPr>
        <w:t>为</w:t>
      </w:r>
      <w:r>
        <w:t>http://tyj.beijing.gov.cn/</w:t>
      </w:r>
      <w:r>
        <w:rPr>
          <w:rFonts w:hint="eastAsia"/>
        </w:rPr>
        <w:t>，如需了解更多政府信息，请登录查询。</w:t>
      </w:r>
    </w:p>
    <w:sectPr>
      <w:footerReference r:id="rId3" w:type="default"/>
      <w:footerReference r:id="rId4" w:type="even"/>
      <w:pgSz w:w="11906" w:h="16838"/>
      <w:pgMar w:top="1701" w:right="1418" w:bottom="1418" w:left="1418" w:header="851" w:footer="992" w:gutter="0"/>
      <w:pgNumType w:fmt="numberInDash" w:start="1"/>
      <w:cols w:space="425" w:num="1"/>
      <w:docGrid w:type="linesAndChars" w:linePitch="439" w:charSpace="-516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宋体-18030">
    <w:altName w:val="华文仿宋"/>
    <w:panose1 w:val="00000000000000000000"/>
    <w:charset w:val="86"/>
    <w:family w:val="modern"/>
    <w:pitch w:val="default"/>
    <w:sig w:usb0="00000000" w:usb1="00000000" w:usb2="000A005E"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1870816"/>
      <w:docPartObj>
        <w:docPartGallery w:val="AutoText"/>
      </w:docPartObj>
    </w:sdtPr>
    <w:sdtEndPr>
      <w:rPr>
        <w:rFonts w:ascii="宋体" w:hAnsi="宋体" w:eastAsia="宋体"/>
        <w:sz w:val="28"/>
        <w:szCs w:val="28"/>
      </w:rPr>
    </w:sdtEndPr>
    <w:sdtContent>
      <w:p>
        <w:pPr>
          <w:pStyle w:val="4"/>
          <w:ind w:left="320" w:leftChars="100" w:right="320" w:rightChars="100"/>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7 -</w:t>
        </w:r>
        <w:r>
          <w:rPr>
            <w:rFonts w:ascii="宋体" w:hAnsi="宋体" w:eastAsia="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1965897"/>
      <w:docPartObj>
        <w:docPartGallery w:val="AutoText"/>
      </w:docPartObj>
    </w:sdtPr>
    <w:sdtEndPr>
      <w:rPr>
        <w:rFonts w:ascii="宋体" w:hAnsi="宋体" w:eastAsia="宋体"/>
        <w:sz w:val="28"/>
        <w:szCs w:val="28"/>
      </w:rPr>
    </w:sdtEndPr>
    <w:sdtContent>
      <w:p>
        <w:pPr>
          <w:pStyle w:val="4"/>
          <w:ind w:left="320" w:leftChars="100" w:right="320" w:rightChars="10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6 -</w:t>
        </w:r>
        <w:r>
          <w:rPr>
            <w:rFonts w:ascii="宋体" w:hAnsi="宋体" w:eastAsia="宋体"/>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295"/>
  <w:drawingGridVerticalSpacing w:val="43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32C"/>
    <w:rsid w:val="000122CB"/>
    <w:rsid w:val="00020411"/>
    <w:rsid w:val="00060837"/>
    <w:rsid w:val="00094597"/>
    <w:rsid w:val="000A15FD"/>
    <w:rsid w:val="000E15F9"/>
    <w:rsid w:val="000E272C"/>
    <w:rsid w:val="000E65C9"/>
    <w:rsid w:val="001217D0"/>
    <w:rsid w:val="001252CA"/>
    <w:rsid w:val="00131919"/>
    <w:rsid w:val="00134780"/>
    <w:rsid w:val="001420E1"/>
    <w:rsid w:val="0016137B"/>
    <w:rsid w:val="00176AFD"/>
    <w:rsid w:val="00176B89"/>
    <w:rsid w:val="001B720A"/>
    <w:rsid w:val="001D6B36"/>
    <w:rsid w:val="001E6EE2"/>
    <w:rsid w:val="001E70E1"/>
    <w:rsid w:val="001F4DF9"/>
    <w:rsid w:val="002030D1"/>
    <w:rsid w:val="00207825"/>
    <w:rsid w:val="00245BAE"/>
    <w:rsid w:val="00262088"/>
    <w:rsid w:val="00294CBB"/>
    <w:rsid w:val="00296310"/>
    <w:rsid w:val="002B4F13"/>
    <w:rsid w:val="002C0070"/>
    <w:rsid w:val="002C208A"/>
    <w:rsid w:val="00303164"/>
    <w:rsid w:val="00312AF8"/>
    <w:rsid w:val="0032154D"/>
    <w:rsid w:val="00322BD7"/>
    <w:rsid w:val="00324969"/>
    <w:rsid w:val="00331066"/>
    <w:rsid w:val="00335422"/>
    <w:rsid w:val="00335F4A"/>
    <w:rsid w:val="00341D11"/>
    <w:rsid w:val="00342DA7"/>
    <w:rsid w:val="0034525D"/>
    <w:rsid w:val="00356112"/>
    <w:rsid w:val="0036368A"/>
    <w:rsid w:val="00364796"/>
    <w:rsid w:val="003A0CD9"/>
    <w:rsid w:val="003A5F49"/>
    <w:rsid w:val="003C5F2B"/>
    <w:rsid w:val="003D0E5F"/>
    <w:rsid w:val="003D7D60"/>
    <w:rsid w:val="003E314B"/>
    <w:rsid w:val="003E7A0B"/>
    <w:rsid w:val="003F672A"/>
    <w:rsid w:val="003F695B"/>
    <w:rsid w:val="00400CFC"/>
    <w:rsid w:val="00414EF4"/>
    <w:rsid w:val="00430C63"/>
    <w:rsid w:val="004313AE"/>
    <w:rsid w:val="00454B9B"/>
    <w:rsid w:val="00474B65"/>
    <w:rsid w:val="00475A8F"/>
    <w:rsid w:val="00476F53"/>
    <w:rsid w:val="00477170"/>
    <w:rsid w:val="00477386"/>
    <w:rsid w:val="004B4ACD"/>
    <w:rsid w:val="004D46CE"/>
    <w:rsid w:val="004D4CD1"/>
    <w:rsid w:val="004D5CFF"/>
    <w:rsid w:val="004F4550"/>
    <w:rsid w:val="004F62EB"/>
    <w:rsid w:val="00540267"/>
    <w:rsid w:val="005475A2"/>
    <w:rsid w:val="005611F5"/>
    <w:rsid w:val="00586D04"/>
    <w:rsid w:val="005B2589"/>
    <w:rsid w:val="005C02E4"/>
    <w:rsid w:val="005C43C9"/>
    <w:rsid w:val="005C4BBE"/>
    <w:rsid w:val="005D25D5"/>
    <w:rsid w:val="00627FF3"/>
    <w:rsid w:val="006517A8"/>
    <w:rsid w:val="006C21D2"/>
    <w:rsid w:val="006D46D9"/>
    <w:rsid w:val="006E74D4"/>
    <w:rsid w:val="006E7A92"/>
    <w:rsid w:val="00712FA0"/>
    <w:rsid w:val="007413A8"/>
    <w:rsid w:val="00767896"/>
    <w:rsid w:val="0077292D"/>
    <w:rsid w:val="00781065"/>
    <w:rsid w:val="007B7BF6"/>
    <w:rsid w:val="007F7415"/>
    <w:rsid w:val="00820405"/>
    <w:rsid w:val="008250B7"/>
    <w:rsid w:val="0082673E"/>
    <w:rsid w:val="00843748"/>
    <w:rsid w:val="008478F4"/>
    <w:rsid w:val="00863F48"/>
    <w:rsid w:val="00871026"/>
    <w:rsid w:val="00872534"/>
    <w:rsid w:val="008D62B3"/>
    <w:rsid w:val="00900983"/>
    <w:rsid w:val="00916C7D"/>
    <w:rsid w:val="0092226F"/>
    <w:rsid w:val="00943A92"/>
    <w:rsid w:val="00950B0B"/>
    <w:rsid w:val="009A4A37"/>
    <w:rsid w:val="009A5E4B"/>
    <w:rsid w:val="009C4A3A"/>
    <w:rsid w:val="009F3159"/>
    <w:rsid w:val="00A03E24"/>
    <w:rsid w:val="00A27ADF"/>
    <w:rsid w:val="00A502BB"/>
    <w:rsid w:val="00A62798"/>
    <w:rsid w:val="00A91063"/>
    <w:rsid w:val="00AC4F1C"/>
    <w:rsid w:val="00AD532C"/>
    <w:rsid w:val="00AE1C82"/>
    <w:rsid w:val="00B25D5C"/>
    <w:rsid w:val="00B56889"/>
    <w:rsid w:val="00B84E47"/>
    <w:rsid w:val="00B84E52"/>
    <w:rsid w:val="00BA455F"/>
    <w:rsid w:val="00BA6AB9"/>
    <w:rsid w:val="00BD1475"/>
    <w:rsid w:val="00BF37E9"/>
    <w:rsid w:val="00C22E77"/>
    <w:rsid w:val="00C30F54"/>
    <w:rsid w:val="00C331FC"/>
    <w:rsid w:val="00C53907"/>
    <w:rsid w:val="00C626EE"/>
    <w:rsid w:val="00CB1543"/>
    <w:rsid w:val="00CD10AA"/>
    <w:rsid w:val="00CD7E72"/>
    <w:rsid w:val="00CE16AB"/>
    <w:rsid w:val="00CE284D"/>
    <w:rsid w:val="00D26B90"/>
    <w:rsid w:val="00D400C9"/>
    <w:rsid w:val="00D42E3A"/>
    <w:rsid w:val="00D50215"/>
    <w:rsid w:val="00D70016"/>
    <w:rsid w:val="00D70150"/>
    <w:rsid w:val="00DB1FA8"/>
    <w:rsid w:val="00DE4CA8"/>
    <w:rsid w:val="00DE6F48"/>
    <w:rsid w:val="00DF1294"/>
    <w:rsid w:val="00E25C78"/>
    <w:rsid w:val="00E3568B"/>
    <w:rsid w:val="00E40C1A"/>
    <w:rsid w:val="00E61643"/>
    <w:rsid w:val="00E66927"/>
    <w:rsid w:val="00E86D32"/>
    <w:rsid w:val="00E91A59"/>
    <w:rsid w:val="00EA2C42"/>
    <w:rsid w:val="00EA5019"/>
    <w:rsid w:val="00F02C96"/>
    <w:rsid w:val="00F208CA"/>
    <w:rsid w:val="00F56B7B"/>
    <w:rsid w:val="00F71972"/>
    <w:rsid w:val="00F95C01"/>
    <w:rsid w:val="00F968BE"/>
    <w:rsid w:val="00FA4362"/>
    <w:rsid w:val="00FB2822"/>
    <w:rsid w:val="00FF3A99"/>
    <w:rsid w:val="00FF62DE"/>
    <w:rsid w:val="72AE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仿宋_GB2312" w:hAnsiTheme="minorHAnsi" w:eastAsia="仿宋_GB2312"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jc w:val="both"/>
    </w:pPr>
    <w:rPr>
      <w:rFonts w:ascii="仿宋_GB2312" w:eastAsia="仿宋_GB2312" w:hAnsiTheme="minorHAnsi" w:cstheme="minorBidi"/>
      <w:kern w:val="2"/>
      <w:sz w:val="32"/>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uiPriority w:val="99"/>
    <w:pPr>
      <w:spacing w:line="240" w:lineRule="auto"/>
    </w:pPr>
    <w:rPr>
      <w:sz w:val="18"/>
      <w:szCs w:val="18"/>
    </w:rPr>
  </w:style>
  <w:style w:type="paragraph" w:styleId="4">
    <w:name w:val="footer"/>
    <w:basedOn w:val="1"/>
    <w:link w:val="13"/>
    <w:unhideWhenUsed/>
    <w:uiPriority w:val="99"/>
    <w:pPr>
      <w:tabs>
        <w:tab w:val="center" w:pos="4153"/>
        <w:tab w:val="right" w:pos="8306"/>
      </w:tabs>
      <w:snapToGrid w:val="0"/>
      <w:spacing w:line="240" w:lineRule="atLeast"/>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uiPriority w:val="99"/>
    <w:rPr>
      <w:color w:val="0563C1" w:themeColor="hyperlink"/>
      <w:u w:val="single"/>
      <w14:textFill>
        <w14:solidFill>
          <w14:schemeClr w14:val="hlink"/>
        </w14:solidFill>
      </w14:textFill>
    </w:rPr>
  </w:style>
  <w:style w:type="character" w:styleId="11">
    <w:name w:val="annotation reference"/>
    <w:basedOn w:val="9"/>
    <w:semiHidden/>
    <w:unhideWhenUsed/>
    <w:uiPriority w:val="99"/>
    <w:rPr>
      <w:sz w:val="21"/>
      <w:szCs w:val="21"/>
    </w:rPr>
  </w:style>
  <w:style w:type="character" w:customStyle="1" w:styleId="12">
    <w:name w:val="页眉 字符"/>
    <w:basedOn w:val="9"/>
    <w:link w:val="5"/>
    <w:uiPriority w:val="99"/>
    <w:rPr>
      <w:sz w:val="18"/>
      <w:szCs w:val="18"/>
    </w:rPr>
  </w:style>
  <w:style w:type="character" w:customStyle="1" w:styleId="13">
    <w:name w:val="页脚 字符"/>
    <w:basedOn w:val="9"/>
    <w:link w:val="4"/>
    <w:uiPriority w:val="99"/>
    <w:rPr>
      <w:sz w:val="18"/>
      <w:szCs w:val="18"/>
    </w:rPr>
  </w:style>
  <w:style w:type="character" w:customStyle="1" w:styleId="14">
    <w:name w:val="批注文字 字符"/>
    <w:basedOn w:val="9"/>
    <w:link w:val="2"/>
    <w:semiHidden/>
    <w:qFormat/>
    <w:uiPriority w:val="99"/>
  </w:style>
  <w:style w:type="character" w:customStyle="1" w:styleId="15">
    <w:name w:val="批注主题 字符"/>
    <w:basedOn w:val="14"/>
    <w:link w:val="6"/>
    <w:semiHidden/>
    <w:uiPriority w:val="99"/>
    <w:rPr>
      <w:b/>
      <w:bCs/>
    </w:rPr>
  </w:style>
  <w:style w:type="character" w:customStyle="1" w:styleId="16">
    <w:name w:val="批注框文本 字符"/>
    <w:basedOn w:val="9"/>
    <w:link w:val="3"/>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03C0C7-A042-4325-9A59-3590BE379C3F}">
  <ds:schemaRefs/>
</ds:datastoreItem>
</file>

<file path=docProps/app.xml><?xml version="1.0" encoding="utf-8"?>
<Properties xmlns="http://schemas.openxmlformats.org/officeDocument/2006/extended-properties" xmlns:vt="http://schemas.openxmlformats.org/officeDocument/2006/docPropsVTypes">
  <Template>Normal</Template>
  <Pages>7</Pages>
  <Words>684</Words>
  <Characters>3905</Characters>
  <Lines>32</Lines>
  <Paragraphs>9</Paragraphs>
  <TotalTime>30</TotalTime>
  <ScaleCrop>false</ScaleCrop>
  <LinksUpToDate>false</LinksUpToDate>
  <CharactersWithSpaces>4580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2021-01-14T08:40:00Z</dcterms:created>
  <dc:creator>zj</dc:creator>
  <cp:lastModifiedBy>雾转多云/ty</cp:lastModifiedBy>
  <cp:lastPrinted>2021-01-15T03:28:00Z</cp:lastPrinted>
  <dcterms:modified xsi:type="dcterms:W3CDTF">2021-01-18T04:12:24Z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